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84" w:rsidRDefault="007F1484" w:rsidP="007F1484">
      <w:pPr>
        <w:jc w:val="center"/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-235585</wp:posOffset>
                </wp:positionV>
                <wp:extent cx="654050" cy="320040"/>
                <wp:effectExtent l="0" t="2540" r="0" b="12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484" w:rsidRPr="00D55ABA" w:rsidRDefault="007F1484" w:rsidP="007F148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55AB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106.6編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26.8pt;margin-top:-18.55pt;width:51.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" filled="f" stroked="f">
                <v:textbox style="mso-fit-shape-to-text:t">
                  <w:txbxContent>
                    <w:p w:rsidR="007F1484" w:rsidRPr="00D55ABA" w:rsidRDefault="007F1484" w:rsidP="007F148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D55ABA">
                        <w:rPr>
                          <w:rFonts w:ascii="標楷體" w:eastAsia="標楷體" w:hAnsi="標楷體" w:hint="eastAsia"/>
                          <w:sz w:val="20"/>
                        </w:rPr>
                        <w:t>106.6編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75B7E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國立佳</w:t>
      </w:r>
      <w:proofErr w:type="gramEnd"/>
      <w:r w:rsidRPr="00A75B7E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冬高農分散式資源班</w:t>
      </w:r>
      <w:proofErr w:type="gramStart"/>
      <w:r w:rsidRPr="00A75B7E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─</w:t>
      </w:r>
      <w:proofErr w:type="gramEnd"/>
      <w:r w:rsidRPr="00A75B7E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特殊教育服務提供與學生及格分數說明</w:t>
      </w:r>
    </w:p>
    <w:p w:rsidR="007F1484" w:rsidRDefault="007F1484" w:rsidP="007F1484">
      <w:pPr>
        <w:spacing w:beforeLines="50" w:before="180" w:afterLines="50" w:after="180"/>
        <w:rPr>
          <w:rFonts w:ascii="標楷體" w:eastAsia="標楷體" w:hAnsi="標楷體" w:hint="eastAsia"/>
          <w:sz w:val="28"/>
          <w:szCs w:val="28"/>
        </w:rPr>
      </w:pPr>
      <w:r w:rsidRPr="00F742F5">
        <w:rPr>
          <w:rFonts w:ascii="標楷體" w:eastAsia="標楷體" w:hAnsi="標楷體" w:hint="eastAsia"/>
          <w:sz w:val="28"/>
          <w:szCs w:val="28"/>
        </w:rPr>
        <w:t>親愛的</w:t>
      </w:r>
      <w:r>
        <w:rPr>
          <w:rFonts w:ascii="標楷體" w:eastAsia="標楷體" w:hAnsi="標楷體" w:hint="eastAsia"/>
          <w:sz w:val="28"/>
          <w:szCs w:val="28"/>
        </w:rPr>
        <w:t>學生與</w:t>
      </w:r>
      <w:r w:rsidRPr="00F742F5">
        <w:rPr>
          <w:rFonts w:ascii="標楷體" w:eastAsia="標楷體" w:hAnsi="標楷體" w:hint="eastAsia"/>
          <w:sz w:val="28"/>
          <w:szCs w:val="28"/>
        </w:rPr>
        <w:t>家長您好！</w:t>
      </w:r>
    </w:p>
    <w:p w:rsidR="007F1484" w:rsidRPr="003E2424" w:rsidRDefault="007F1484" w:rsidP="007F1484">
      <w:pPr>
        <w:spacing w:beforeLines="50" w:before="180" w:afterLines="50" w:after="18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E2424">
        <w:rPr>
          <w:rFonts w:ascii="標楷體" w:eastAsia="標楷體" w:hAnsi="標楷體" w:hint="eastAsia"/>
          <w:sz w:val="26"/>
          <w:szCs w:val="26"/>
        </w:rPr>
        <w:t>歡迎您</w:t>
      </w:r>
      <w:proofErr w:type="gramStart"/>
      <w:r w:rsidRPr="003E2424">
        <w:rPr>
          <w:rFonts w:ascii="標楷體" w:eastAsia="標楷體" w:hAnsi="標楷體" w:hint="eastAsia"/>
          <w:sz w:val="26"/>
          <w:szCs w:val="26"/>
        </w:rPr>
        <w:t>加入佳農資源</w:t>
      </w:r>
      <w:proofErr w:type="gramEnd"/>
      <w:r w:rsidRPr="003E2424">
        <w:rPr>
          <w:rFonts w:ascii="標楷體" w:eastAsia="標楷體" w:hAnsi="標楷體" w:hint="eastAsia"/>
          <w:sz w:val="26"/>
          <w:szCs w:val="26"/>
        </w:rPr>
        <w:t>班的大家庭！以下有一些事項需要請您先瞭解：</w:t>
      </w:r>
    </w:p>
    <w:p w:rsidR="007F1484" w:rsidRPr="003E2424" w:rsidRDefault="007F1484" w:rsidP="007F1484">
      <w:pPr>
        <w:numPr>
          <w:ilvl w:val="0"/>
          <w:numId w:val="1"/>
        </w:numPr>
        <w:ind w:left="417" w:hangingChars="149" w:hanging="417"/>
        <w:rPr>
          <w:rFonts w:ascii="標楷體" w:eastAsia="標楷體" w:hAnsi="標楷體" w:hint="eastAsia"/>
          <w:sz w:val="26"/>
          <w:szCs w:val="26"/>
          <w:u w:val="double"/>
        </w:rPr>
      </w:pPr>
      <w:r w:rsidRPr="001A778A">
        <w:rPr>
          <w:rFonts w:ascii="標楷體" w:eastAsia="標楷體" w:hAnsi="標楷體" w:hint="eastAsia"/>
          <w:sz w:val="28"/>
          <w:szCs w:val="26"/>
          <w:u w:val="double"/>
        </w:rPr>
        <w:t>本校資源班服務方式：採取「</w:t>
      </w:r>
      <w:r w:rsidRPr="001A778A">
        <w:rPr>
          <w:rFonts w:ascii="標楷體" w:eastAsia="標楷體" w:hAnsi="標楷體" w:hint="eastAsia"/>
          <w:b/>
          <w:sz w:val="28"/>
          <w:szCs w:val="26"/>
          <w:u w:val="double"/>
        </w:rPr>
        <w:t>學生提出需求申請並協助安排</w:t>
      </w:r>
      <w:r w:rsidRPr="001A778A">
        <w:rPr>
          <w:rFonts w:ascii="標楷體" w:eastAsia="標楷體" w:hAnsi="標楷體" w:hint="eastAsia"/>
          <w:sz w:val="28"/>
          <w:szCs w:val="26"/>
          <w:u w:val="double"/>
        </w:rPr>
        <w:t>」</w:t>
      </w:r>
    </w:p>
    <w:p w:rsidR="007F1484" w:rsidRDefault="007F1484" w:rsidP="007F1484">
      <w:pPr>
        <w:spacing w:line="440" w:lineRule="atLeast"/>
        <w:ind w:left="357"/>
        <w:rPr>
          <w:rFonts w:ascii="標楷體" w:eastAsia="標楷體" w:hAnsi="標楷體" w:hint="eastAsia"/>
          <w:sz w:val="28"/>
          <w:szCs w:val="28"/>
        </w:rPr>
      </w:pPr>
      <w:r w:rsidRPr="003E2424">
        <w:rPr>
          <w:rFonts w:ascii="標楷體" w:eastAsia="標楷體" w:hAnsi="標楷體" w:hint="eastAsia"/>
          <w:sz w:val="26"/>
          <w:szCs w:val="26"/>
        </w:rPr>
        <w:t>資源班提供之服務方式有</w:t>
      </w:r>
      <w:r w:rsidRPr="003E2424">
        <w:rPr>
          <w:rFonts w:ascii="標楷體" w:eastAsia="標楷體" w:hAnsi="標楷體" w:hint="eastAsia"/>
          <w:sz w:val="26"/>
          <w:szCs w:val="26"/>
          <w:u w:val="single"/>
        </w:rPr>
        <w:t>直接服務</w:t>
      </w:r>
      <w:r w:rsidRPr="00C92EE6">
        <w:rPr>
          <w:rFonts w:ascii="標楷體" w:eastAsia="標楷體" w:hAnsi="標楷體" w:hint="eastAsia"/>
          <w:szCs w:val="28"/>
          <w:u w:val="single"/>
        </w:rPr>
        <w:t>(對學生直接進行教學與輔導)</w:t>
      </w:r>
      <w:r w:rsidRPr="003E2424">
        <w:rPr>
          <w:rFonts w:ascii="標楷體" w:eastAsia="標楷體" w:hAnsi="標楷體" w:hint="eastAsia"/>
          <w:sz w:val="26"/>
          <w:szCs w:val="26"/>
        </w:rPr>
        <w:t>與</w:t>
      </w:r>
      <w:r w:rsidRPr="003E2424">
        <w:rPr>
          <w:rFonts w:ascii="標楷體" w:eastAsia="標楷體" w:hAnsi="標楷體" w:hint="eastAsia"/>
          <w:sz w:val="26"/>
          <w:szCs w:val="26"/>
          <w:u w:val="single"/>
        </w:rPr>
        <w:t>間接服務</w:t>
      </w:r>
      <w:r w:rsidRPr="00C92EE6">
        <w:rPr>
          <w:rFonts w:ascii="標楷體" w:eastAsia="標楷體" w:hAnsi="標楷體" w:hint="eastAsia"/>
          <w:szCs w:val="28"/>
          <w:u w:val="single"/>
        </w:rPr>
        <w:t>(</w:t>
      </w:r>
      <w:r w:rsidRPr="00C92EE6">
        <w:rPr>
          <w:rFonts w:ascii="標楷體" w:eastAsia="標楷體" w:hAnsi="標楷體"/>
          <w:szCs w:val="28"/>
          <w:u w:val="single"/>
        </w:rPr>
        <w:t>對普通班教師、家長與同儕提供諮詢、親職教育及協助推動融合教育等</w:t>
      </w:r>
      <w:r w:rsidRPr="00C92EE6">
        <w:rPr>
          <w:rFonts w:ascii="標楷體" w:eastAsia="標楷體" w:hAnsi="標楷體" w:hint="eastAsia"/>
          <w:szCs w:val="28"/>
          <w:u w:val="single"/>
        </w:rPr>
        <w:t>)</w:t>
      </w:r>
      <w:r w:rsidRPr="003E2424">
        <w:rPr>
          <w:rFonts w:ascii="標楷體" w:eastAsia="標楷體" w:hAnsi="標楷體" w:hint="eastAsia"/>
          <w:sz w:val="26"/>
          <w:szCs w:val="26"/>
        </w:rPr>
        <w:t>。因高中資源班服務</w:t>
      </w:r>
      <w:proofErr w:type="gramStart"/>
      <w:r w:rsidRPr="003E2424">
        <w:rPr>
          <w:rFonts w:ascii="標楷體" w:eastAsia="標楷體" w:hAnsi="標楷體" w:hint="eastAsia"/>
          <w:sz w:val="26"/>
          <w:szCs w:val="26"/>
        </w:rPr>
        <w:t>學生數遠較</w:t>
      </w:r>
      <w:proofErr w:type="gramEnd"/>
      <w:r w:rsidRPr="003E2424">
        <w:rPr>
          <w:rFonts w:ascii="標楷體" w:eastAsia="標楷體" w:hAnsi="標楷體" w:hint="eastAsia"/>
          <w:sz w:val="26"/>
          <w:szCs w:val="26"/>
        </w:rPr>
        <w:t>國中資源班多(目前校內</w:t>
      </w:r>
      <w:proofErr w:type="gramStart"/>
      <w:r w:rsidRPr="003E2424">
        <w:rPr>
          <w:rFonts w:ascii="標楷體" w:eastAsia="標楷體" w:hAnsi="標楷體" w:hint="eastAsia"/>
          <w:sz w:val="26"/>
          <w:szCs w:val="26"/>
        </w:rPr>
        <w:t>舊生人數</w:t>
      </w:r>
      <w:proofErr w:type="gramEnd"/>
      <w:r w:rsidRPr="003E2424">
        <w:rPr>
          <w:rFonts w:ascii="標楷體" w:eastAsia="標楷體" w:hAnsi="標楷體" w:hint="eastAsia"/>
          <w:sz w:val="26"/>
          <w:szCs w:val="26"/>
        </w:rPr>
        <w:t>為2</w:t>
      </w:r>
      <w:r>
        <w:rPr>
          <w:rFonts w:ascii="標楷體" w:eastAsia="標楷體" w:hAnsi="標楷體" w:hint="eastAsia"/>
          <w:sz w:val="26"/>
          <w:szCs w:val="26"/>
        </w:rPr>
        <w:t>8</w:t>
      </w:r>
      <w:r w:rsidRPr="003E2424">
        <w:rPr>
          <w:rFonts w:ascii="標楷體" w:eastAsia="標楷體" w:hAnsi="標楷體" w:hint="eastAsia"/>
          <w:sz w:val="26"/>
          <w:szCs w:val="26"/>
        </w:rPr>
        <w:t>人)，故</w:t>
      </w:r>
      <w:r w:rsidRPr="003E2424">
        <w:rPr>
          <w:rFonts w:ascii="標楷體" w:eastAsia="標楷體" w:hAnsi="標楷體" w:hint="eastAsia"/>
          <w:b/>
          <w:sz w:val="26"/>
          <w:szCs w:val="26"/>
        </w:rPr>
        <w:t>無法對每位學生皆提供直接教學</w:t>
      </w:r>
      <w:r w:rsidRPr="003E2424">
        <w:rPr>
          <w:rFonts w:ascii="標楷體" w:eastAsia="標楷體" w:hAnsi="標楷體" w:hint="eastAsia"/>
          <w:sz w:val="26"/>
          <w:szCs w:val="26"/>
        </w:rPr>
        <w:t>。因此，資源班在每</w:t>
      </w:r>
      <w:proofErr w:type="gramStart"/>
      <w:r w:rsidRPr="003E2424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3E2424">
        <w:rPr>
          <w:rFonts w:ascii="標楷體" w:eastAsia="標楷體" w:hAnsi="標楷體" w:hint="eastAsia"/>
          <w:sz w:val="26"/>
          <w:szCs w:val="26"/>
        </w:rPr>
        <w:t>學期皆會發下</w:t>
      </w:r>
      <w:r w:rsidRPr="003E2424">
        <w:rPr>
          <w:rFonts w:ascii="標楷體" w:eastAsia="標楷體" w:hAnsi="標楷體" w:hint="eastAsia"/>
          <w:b/>
          <w:sz w:val="26"/>
          <w:szCs w:val="26"/>
        </w:rPr>
        <w:t>「特殊需求服務調查表」供學生、導師與家長討論後填寫，再由資源班協助安排</w:t>
      </w:r>
      <w:r w:rsidRPr="003E2424">
        <w:rPr>
          <w:rFonts w:ascii="標楷體" w:eastAsia="標楷體" w:hAnsi="標楷體" w:hint="eastAsia"/>
          <w:sz w:val="26"/>
          <w:szCs w:val="26"/>
        </w:rPr>
        <w:t>。</w:t>
      </w:r>
    </w:p>
    <w:p w:rsidR="007F1484" w:rsidRPr="003E2424" w:rsidRDefault="007F1484" w:rsidP="007F1484">
      <w:pPr>
        <w:numPr>
          <w:ilvl w:val="0"/>
          <w:numId w:val="1"/>
        </w:numPr>
        <w:ind w:left="417" w:hangingChars="149" w:hanging="417"/>
        <w:rPr>
          <w:rFonts w:ascii="標楷體" w:eastAsia="標楷體" w:hAnsi="標楷體" w:hint="eastAsia"/>
          <w:sz w:val="26"/>
          <w:szCs w:val="26"/>
          <w:u w:val="double"/>
        </w:rPr>
      </w:pPr>
      <w:r w:rsidRPr="0038650A">
        <w:rPr>
          <w:rFonts w:ascii="標楷體" w:eastAsia="標楷體" w:hAnsi="標楷體" w:hint="eastAsia"/>
          <w:sz w:val="28"/>
          <w:szCs w:val="26"/>
          <w:u w:val="double"/>
        </w:rPr>
        <w:t>資源班有</w:t>
      </w:r>
      <w:r w:rsidRPr="0038650A">
        <w:rPr>
          <w:rFonts w:ascii="標楷體" w:eastAsia="標楷體" w:hAnsi="標楷體" w:hint="eastAsia"/>
          <w:b/>
          <w:sz w:val="28"/>
          <w:szCs w:val="26"/>
          <w:u w:val="double"/>
        </w:rPr>
        <w:t>兩種教學輔導模式：特殊需求課程、學業輔導(即補救教學)</w:t>
      </w:r>
    </w:p>
    <w:p w:rsidR="007F1484" w:rsidRDefault="007F1484" w:rsidP="007F1484">
      <w:pPr>
        <w:spacing w:line="440" w:lineRule="atLeast"/>
        <w:ind w:left="357"/>
        <w:rPr>
          <w:rFonts w:ascii="標楷體" w:eastAsia="標楷體" w:hAnsi="標楷體" w:hint="eastAsia"/>
          <w:szCs w:val="28"/>
        </w:rPr>
      </w:pPr>
      <w:r w:rsidRPr="003E2424">
        <w:rPr>
          <w:rFonts w:ascii="標楷體" w:eastAsia="標楷體" w:hAnsi="標楷體" w:hint="eastAsia"/>
          <w:b/>
          <w:sz w:val="26"/>
          <w:szCs w:val="26"/>
        </w:rPr>
        <w:t>請學生與家長視學業能力及表現，選擇不同教學輔導模式</w:t>
      </w:r>
      <w:r w:rsidRPr="003E2424">
        <w:rPr>
          <w:rFonts w:ascii="標楷體" w:eastAsia="標楷體" w:hAnsi="標楷體" w:hint="eastAsia"/>
          <w:sz w:val="26"/>
          <w:szCs w:val="26"/>
        </w:rPr>
        <w:t>。</w:t>
      </w:r>
      <w:r w:rsidRPr="00B801D7">
        <w:rPr>
          <w:rFonts w:ascii="標楷體" w:eastAsia="標楷體" w:hAnsi="標楷體" w:hint="eastAsia"/>
          <w:szCs w:val="28"/>
        </w:rPr>
        <w:t>(如無須安排亦可)</w:t>
      </w:r>
    </w:p>
    <w:p w:rsidR="007F1484" w:rsidRPr="003E2424" w:rsidRDefault="007F1484" w:rsidP="007F1484">
      <w:pPr>
        <w:spacing w:line="440" w:lineRule="atLeast"/>
        <w:ind w:left="357"/>
        <w:rPr>
          <w:rFonts w:ascii="標楷體" w:eastAsia="標楷體" w:hAnsi="標楷體" w:hint="eastAsia"/>
          <w:sz w:val="26"/>
          <w:szCs w:val="26"/>
        </w:rPr>
      </w:pPr>
      <w:r w:rsidRPr="003E2424">
        <w:rPr>
          <w:rFonts w:ascii="標楷體" w:eastAsia="標楷體" w:hAnsi="標楷體" w:hint="eastAsia"/>
          <w:sz w:val="26"/>
          <w:szCs w:val="26"/>
        </w:rPr>
        <w:t>接受課程之學生，期末將</w:t>
      </w:r>
      <w:r w:rsidRPr="003E2424">
        <w:rPr>
          <w:rFonts w:ascii="標楷體" w:eastAsia="標楷體" w:hAnsi="標楷體" w:hint="eastAsia"/>
          <w:b/>
          <w:sz w:val="26"/>
          <w:szCs w:val="26"/>
        </w:rPr>
        <w:t>視其上課表現，在學期總成績上加分</w:t>
      </w:r>
      <w:r w:rsidRPr="003E2424">
        <w:rPr>
          <w:rFonts w:ascii="標楷體" w:eastAsia="標楷體" w:hAnsi="標楷體" w:hint="eastAsia"/>
          <w:sz w:val="26"/>
          <w:szCs w:val="26"/>
        </w:rPr>
        <w:t>。</w:t>
      </w:r>
    </w:p>
    <w:p w:rsidR="007F1484" w:rsidRDefault="007F1484" w:rsidP="007F1484">
      <w:pPr>
        <w:numPr>
          <w:ilvl w:val="0"/>
          <w:numId w:val="2"/>
        </w:numPr>
        <w:spacing w:line="440" w:lineRule="atLeast"/>
        <w:ind w:left="851" w:hanging="567"/>
        <w:rPr>
          <w:rFonts w:ascii="標楷體" w:eastAsia="標楷體" w:hAnsi="標楷體" w:hint="eastAsia"/>
          <w:sz w:val="28"/>
          <w:szCs w:val="28"/>
        </w:rPr>
      </w:pPr>
      <w:r w:rsidRPr="00056E41">
        <w:rPr>
          <w:rFonts w:ascii="標楷體" w:eastAsia="標楷體" w:hAnsi="標楷體" w:hint="eastAsia"/>
          <w:sz w:val="26"/>
          <w:szCs w:val="26"/>
          <w:u w:val="single"/>
        </w:rPr>
        <w:t>特殊需求課程(學習策略、社會技巧、生活管理、職業教育、溝通訓練)</w:t>
      </w:r>
      <w:r w:rsidRPr="00B801D7">
        <w:rPr>
          <w:rFonts w:ascii="標楷體" w:eastAsia="標楷體" w:hAnsi="標楷體" w:hint="eastAsia"/>
          <w:sz w:val="28"/>
          <w:szCs w:val="28"/>
        </w:rPr>
        <w:t>：</w:t>
      </w:r>
    </w:p>
    <w:p w:rsidR="007F1484" w:rsidRPr="003E2424" w:rsidRDefault="007F1484" w:rsidP="007F1484">
      <w:pPr>
        <w:spacing w:line="440" w:lineRule="atLeast"/>
        <w:ind w:left="851"/>
        <w:rPr>
          <w:rFonts w:ascii="標楷體" w:eastAsia="標楷體" w:hAnsi="標楷體" w:hint="eastAsia"/>
          <w:sz w:val="26"/>
          <w:szCs w:val="26"/>
        </w:rPr>
      </w:pPr>
      <w:r w:rsidRPr="003E2424">
        <w:rPr>
          <w:rFonts w:ascii="標楷體" w:eastAsia="標楷體" w:hAnsi="標楷體" w:hint="eastAsia"/>
          <w:sz w:val="26"/>
          <w:szCs w:val="26"/>
        </w:rPr>
        <w:t>此課程針對在上述括弧內的領域有特殊需求之學生開設，抑或是國文、數學兩科能力與同儕有相當大落差者亦可申請；由特教老師授課。</w:t>
      </w:r>
    </w:p>
    <w:p w:rsidR="007F1484" w:rsidRPr="003E2424" w:rsidRDefault="007F1484" w:rsidP="007F1484">
      <w:pPr>
        <w:numPr>
          <w:ilvl w:val="0"/>
          <w:numId w:val="2"/>
        </w:numPr>
        <w:spacing w:line="440" w:lineRule="atLeast"/>
        <w:ind w:left="851" w:hanging="567"/>
        <w:rPr>
          <w:rFonts w:ascii="標楷體" w:eastAsia="標楷體" w:hAnsi="標楷體" w:hint="eastAsia"/>
          <w:sz w:val="26"/>
          <w:szCs w:val="26"/>
        </w:rPr>
      </w:pPr>
      <w:r w:rsidRPr="00056E41">
        <w:rPr>
          <w:rFonts w:ascii="標楷體" w:eastAsia="標楷體" w:hAnsi="標楷體" w:hint="eastAsia"/>
          <w:sz w:val="26"/>
          <w:szCs w:val="26"/>
          <w:u w:val="single"/>
        </w:rPr>
        <w:t>學業輔導</w:t>
      </w:r>
      <w:r w:rsidRPr="003E2424">
        <w:rPr>
          <w:rFonts w:ascii="標楷體" w:eastAsia="標楷體" w:hAnsi="標楷體" w:hint="eastAsia"/>
          <w:sz w:val="26"/>
          <w:szCs w:val="26"/>
        </w:rPr>
        <w:t>：</w:t>
      </w:r>
    </w:p>
    <w:p w:rsidR="007F1484" w:rsidRPr="003E2424" w:rsidRDefault="007F1484" w:rsidP="007F1484">
      <w:pPr>
        <w:spacing w:line="440" w:lineRule="atLeast"/>
        <w:ind w:left="851"/>
        <w:rPr>
          <w:rFonts w:ascii="標楷體" w:eastAsia="標楷體" w:hAnsi="標楷體" w:hint="eastAsia"/>
          <w:sz w:val="26"/>
          <w:szCs w:val="26"/>
        </w:rPr>
      </w:pPr>
      <w:r w:rsidRPr="003E2424">
        <w:rPr>
          <w:rFonts w:ascii="標楷體" w:eastAsia="標楷體" w:hAnsi="標楷體" w:hint="eastAsia"/>
          <w:sz w:val="26"/>
          <w:szCs w:val="26"/>
        </w:rPr>
        <w:t>學業能力及表現勉強可跟上班級進度，仍比同儕需要較多時間理解、複習與加強者可申請；盡量安排由原班任課教師授課，故須協調配課才能決定是否開課。</w:t>
      </w:r>
    </w:p>
    <w:p w:rsidR="007F1484" w:rsidRPr="0035788F" w:rsidRDefault="007F1484" w:rsidP="007F1484">
      <w:pPr>
        <w:numPr>
          <w:ilvl w:val="0"/>
          <w:numId w:val="1"/>
        </w:numPr>
        <w:ind w:left="417" w:hangingChars="149" w:hanging="417"/>
        <w:rPr>
          <w:rFonts w:ascii="標楷體" w:eastAsia="標楷體" w:hAnsi="標楷體" w:hint="eastAsia"/>
          <w:sz w:val="26"/>
          <w:szCs w:val="26"/>
          <w:u w:val="double"/>
        </w:rPr>
      </w:pPr>
      <w:r w:rsidRPr="0038650A">
        <w:rPr>
          <w:rFonts w:ascii="標楷體" w:eastAsia="標楷體" w:hAnsi="標楷體" w:hint="eastAsia"/>
          <w:sz w:val="28"/>
          <w:szCs w:val="26"/>
          <w:u w:val="double"/>
        </w:rPr>
        <w:t>資源班學生的</w:t>
      </w:r>
      <w:r w:rsidRPr="0038650A">
        <w:rPr>
          <w:rFonts w:ascii="標楷體" w:eastAsia="標楷體" w:hAnsi="標楷體" w:hint="eastAsia"/>
          <w:b/>
          <w:sz w:val="28"/>
          <w:szCs w:val="26"/>
          <w:u w:val="double"/>
        </w:rPr>
        <w:t>及格分數依入學方式分兩種：40-50-60、三年皆60分</w:t>
      </w:r>
    </w:p>
    <w:p w:rsidR="007F1484" w:rsidRDefault="007F1484" w:rsidP="007F1484">
      <w:pPr>
        <w:spacing w:line="440" w:lineRule="atLeast"/>
        <w:ind w:left="386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只要國中是特殊教育學生，即便是經由適性輔導安置或免試入學任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管道入學，升上高中後，這些孩子皆為資源班學生。</w:t>
      </w:r>
    </w:p>
    <w:p w:rsidR="007F1484" w:rsidRDefault="007F1484" w:rsidP="007F1484">
      <w:pPr>
        <w:spacing w:line="440" w:lineRule="atLeast"/>
        <w:ind w:left="386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唯一不同點在於，</w:t>
      </w:r>
      <w:r w:rsidRPr="001E3DC4">
        <w:rPr>
          <w:rFonts w:ascii="標楷體" w:eastAsia="標楷體" w:hAnsi="標楷體" w:hint="eastAsia"/>
          <w:b/>
          <w:sz w:val="26"/>
          <w:szCs w:val="26"/>
          <w:u w:val="single"/>
        </w:rPr>
        <w:t>經由適性輔導安置入學者，其高中各年級及格分數分別是40-50-60，免試入學、</w:t>
      </w:r>
      <w:proofErr w:type="gramStart"/>
      <w:r w:rsidRPr="001E3DC4">
        <w:rPr>
          <w:rFonts w:ascii="標楷體" w:eastAsia="標楷體" w:hAnsi="標楷體" w:hint="eastAsia"/>
          <w:b/>
          <w:sz w:val="26"/>
          <w:szCs w:val="26"/>
          <w:u w:val="single"/>
        </w:rPr>
        <w:t>實技分發</w:t>
      </w:r>
      <w:proofErr w:type="gramEnd"/>
      <w:r w:rsidRPr="001E3DC4">
        <w:rPr>
          <w:rFonts w:ascii="標楷體" w:eastAsia="標楷體" w:hAnsi="標楷體" w:hint="eastAsia"/>
          <w:b/>
          <w:sz w:val="26"/>
          <w:szCs w:val="26"/>
          <w:u w:val="single"/>
        </w:rPr>
        <w:t>等其餘入學途徑者皆為60分</w:t>
      </w:r>
      <w:r w:rsidRPr="00EC3F55"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</w:rPr>
        <w:t>在此先行告知。</w:t>
      </w:r>
    </w:p>
    <w:p w:rsidR="007F1484" w:rsidRPr="00EC3F55" w:rsidRDefault="007F1484" w:rsidP="003560B3">
      <w:pPr>
        <w:snapToGrid w:val="0"/>
        <w:spacing w:line="440" w:lineRule="atLeast"/>
        <w:ind w:left="386"/>
        <w:rPr>
          <w:rFonts w:ascii="標楷體" w:eastAsia="標楷體" w:hAnsi="標楷體" w:hint="eastAsia"/>
          <w:sz w:val="26"/>
          <w:szCs w:val="26"/>
        </w:rPr>
      </w:pPr>
      <w:r w:rsidRPr="00EC3F55">
        <w:rPr>
          <w:rFonts w:ascii="標楷體" w:eastAsia="標楷體" w:hAnsi="標楷體" w:hint="eastAsia"/>
          <w:b/>
          <w:sz w:val="26"/>
          <w:szCs w:val="26"/>
        </w:rPr>
        <w:t>如孩子在適性輔導安置及免試入學皆錄取本校，請孩子與家長仍須仔細評估個人興趣、學習能力等，擇</w:t>
      </w:r>
      <w:proofErr w:type="gramStart"/>
      <w:r w:rsidRPr="00EC3F55"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 w:rsidRPr="00EC3F55">
        <w:rPr>
          <w:rFonts w:ascii="標楷體" w:eastAsia="標楷體" w:hAnsi="標楷體" w:hint="eastAsia"/>
          <w:b/>
          <w:sz w:val="26"/>
          <w:szCs w:val="26"/>
        </w:rPr>
        <w:t>選取入學途徑，並於</w:t>
      </w:r>
      <w:r>
        <w:rPr>
          <w:rFonts w:ascii="標楷體" w:eastAsia="標楷體" w:hAnsi="標楷體" w:hint="eastAsia"/>
          <w:b/>
          <w:sz w:val="26"/>
          <w:szCs w:val="26"/>
        </w:rPr>
        <w:t>各</w:t>
      </w:r>
      <w:r w:rsidRPr="00EC3F55">
        <w:rPr>
          <w:rFonts w:ascii="標楷體" w:eastAsia="標楷體" w:hAnsi="標楷體" w:hint="eastAsia"/>
          <w:b/>
          <w:sz w:val="26"/>
          <w:szCs w:val="26"/>
        </w:rPr>
        <w:t>規定</w:t>
      </w:r>
      <w:r>
        <w:rPr>
          <w:rFonts w:ascii="標楷體" w:eastAsia="標楷體" w:hAnsi="標楷體" w:hint="eastAsia"/>
          <w:b/>
          <w:sz w:val="26"/>
          <w:szCs w:val="26"/>
        </w:rPr>
        <w:t>的</w:t>
      </w:r>
      <w:r w:rsidRPr="00EC3F55">
        <w:rPr>
          <w:rFonts w:ascii="標楷體" w:eastAsia="標楷體" w:hAnsi="標楷體" w:hint="eastAsia"/>
          <w:b/>
          <w:sz w:val="26"/>
          <w:szCs w:val="26"/>
        </w:rPr>
        <w:t>報到時間完成報到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7F1484" w:rsidRPr="00056E41" w:rsidRDefault="007F1484" w:rsidP="003560B3">
      <w:pPr>
        <w:numPr>
          <w:ilvl w:val="0"/>
          <w:numId w:val="1"/>
        </w:numPr>
        <w:snapToGrid w:val="0"/>
        <w:spacing w:line="600" w:lineRule="atLeast"/>
        <w:ind w:left="417" w:hangingChars="149" w:hanging="417"/>
        <w:rPr>
          <w:rFonts w:ascii="標楷體" w:eastAsia="標楷體" w:hAnsi="標楷體" w:hint="eastAsia"/>
          <w:sz w:val="28"/>
          <w:szCs w:val="28"/>
          <w:u w:val="double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1288415</wp:posOffset>
                </wp:positionV>
                <wp:extent cx="2152650" cy="320040"/>
                <wp:effectExtent l="3810" t="2540" r="0" b="12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484" w:rsidRPr="00D55ABA" w:rsidRDefault="007F1484" w:rsidP="007F148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～背面有特殊教育服務內容介紹～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313.8pt;margin-top:101.45pt;width:169.5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9e+zgIAAMQ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" filled="f" stroked="f">
                <v:textbox style="mso-fit-shape-to-text:t">
                  <w:txbxContent>
                    <w:p w:rsidR="007F1484" w:rsidRPr="00D55ABA" w:rsidRDefault="007F1484" w:rsidP="007F148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～背面有特殊教育服務內容介紹～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  <w:u w:val="double"/>
        </w:rPr>
        <w:t>即使，資源班學生有較低的及格標準，擁有教學輔導之額外加分方式，可申請相關特殊教育服務，</w:t>
      </w:r>
      <w:proofErr w:type="gramStart"/>
      <w:r>
        <w:rPr>
          <w:rFonts w:ascii="標楷體" w:eastAsia="標楷體" w:hAnsi="標楷體" w:hint="eastAsia"/>
          <w:sz w:val="28"/>
          <w:szCs w:val="28"/>
          <w:u w:val="double"/>
        </w:rPr>
        <w:t>以及各任課</w:t>
      </w:r>
      <w:proofErr w:type="gramEnd"/>
      <w:r>
        <w:rPr>
          <w:rFonts w:ascii="標楷體" w:eastAsia="標楷體" w:hAnsi="標楷體" w:hint="eastAsia"/>
          <w:sz w:val="28"/>
          <w:szCs w:val="28"/>
          <w:u w:val="double"/>
        </w:rPr>
        <w:t>教師將協助調整教學與評量，仍</w:t>
      </w:r>
      <w:r w:rsidRPr="001540BD">
        <w:rPr>
          <w:rFonts w:ascii="標楷體" w:eastAsia="標楷體" w:hAnsi="標楷體" w:hint="eastAsia"/>
          <w:b/>
          <w:sz w:val="28"/>
          <w:szCs w:val="28"/>
          <w:u w:val="double"/>
        </w:rPr>
        <w:t>請學生要有良好的學習態度，亦請家長配合協助叮嚀孩子的學習表現</w:t>
      </w:r>
      <w:r w:rsidRPr="0038650A">
        <w:rPr>
          <w:rFonts w:ascii="標楷體" w:eastAsia="標楷體" w:hAnsi="標楷體" w:hint="eastAsia"/>
          <w:sz w:val="28"/>
          <w:szCs w:val="28"/>
        </w:rPr>
        <w:t>。</w:t>
      </w:r>
    </w:p>
    <w:p w:rsidR="007F1484" w:rsidRPr="001540BD" w:rsidRDefault="007F1484" w:rsidP="007F1484">
      <w:pPr>
        <w:numPr>
          <w:ilvl w:val="0"/>
          <w:numId w:val="1"/>
        </w:numPr>
        <w:ind w:left="418" w:hangingChars="149" w:hanging="418"/>
        <w:rPr>
          <w:rFonts w:ascii="標楷體" w:eastAsia="標楷體" w:hAnsi="標楷體" w:hint="eastAsia"/>
          <w:sz w:val="28"/>
          <w:szCs w:val="28"/>
          <w:u w:val="double"/>
        </w:rPr>
      </w:pPr>
      <w:r w:rsidRPr="00056E41">
        <w:rPr>
          <w:rFonts w:ascii="標楷體" w:eastAsia="標楷體" w:hAnsi="標楷體" w:hint="eastAsia"/>
          <w:b/>
          <w:sz w:val="28"/>
          <w:szCs w:val="30"/>
          <w:shd w:val="pct15" w:color="auto" w:fill="FFFFFF"/>
        </w:rPr>
        <w:lastRenderedPageBreak/>
        <w:t>特殊教育服務內容</w:t>
      </w:r>
      <w:r w:rsidRPr="00056E41">
        <w:rPr>
          <w:rFonts w:ascii="標楷體" w:eastAsia="標楷體" w:hAnsi="標楷體" w:hint="eastAsia"/>
          <w:b/>
          <w:sz w:val="28"/>
          <w:szCs w:val="30"/>
        </w:rPr>
        <w:t>：</w:t>
      </w:r>
      <w:r w:rsidRPr="00A64E88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以下</w:t>
      </w:r>
      <w:r w:rsidRPr="00A64E88">
        <w:rPr>
          <w:rFonts w:ascii="標楷體" w:eastAsia="標楷體" w:hAnsi="標楷體" w:hint="eastAsia"/>
          <w:sz w:val="26"/>
          <w:szCs w:val="26"/>
        </w:rPr>
        <w:t>羅列較重要部分)</w:t>
      </w:r>
    </w:p>
    <w:p w:rsidR="003560B3" w:rsidRPr="003560B3" w:rsidRDefault="003560B3" w:rsidP="007F1484">
      <w:pPr>
        <w:numPr>
          <w:ilvl w:val="0"/>
          <w:numId w:val="4"/>
        </w:numPr>
        <w:snapToGrid w:val="0"/>
        <w:spacing w:line="440" w:lineRule="atLeast"/>
        <w:rPr>
          <w:rFonts w:ascii="標楷體" w:eastAsia="標楷體" w:hAnsi="標楷體" w:hint="eastAsia"/>
          <w:b/>
          <w:sz w:val="26"/>
          <w:szCs w:val="26"/>
        </w:rPr>
      </w:pPr>
      <w:r w:rsidRPr="003560B3">
        <w:rPr>
          <w:rFonts w:ascii="標楷體" w:eastAsia="標楷體" w:hAnsi="標楷體" w:hint="eastAsia"/>
          <w:color w:val="222222"/>
          <w:sz w:val="26"/>
          <w:szCs w:val="26"/>
          <w:shd w:val="clear" w:color="auto" w:fill="FFFFFF"/>
        </w:rPr>
        <w:t>學生</w:t>
      </w:r>
      <w:r w:rsidRPr="003560B3">
        <w:rPr>
          <w:rStyle w:val="a3"/>
          <w:rFonts w:ascii="標楷體" w:eastAsia="標楷體" w:hAnsi="標楷體" w:hint="eastAsia"/>
          <w:color w:val="222222"/>
          <w:sz w:val="26"/>
          <w:szCs w:val="26"/>
          <w:shd w:val="clear" w:color="auto" w:fill="FFFFFF"/>
        </w:rPr>
        <w:t>個案管理</w:t>
      </w:r>
      <w:r w:rsidRPr="003560B3">
        <w:rPr>
          <w:rFonts w:ascii="標楷體" w:eastAsia="標楷體" w:hAnsi="標楷體" w:hint="eastAsia"/>
          <w:color w:val="222222"/>
          <w:sz w:val="26"/>
          <w:szCs w:val="26"/>
          <w:shd w:val="clear" w:color="auto" w:fill="FFFFFF"/>
        </w:rPr>
        <w:t>：協調校內教師、行政等相關人員及校外資源，擬定並執行個別化教育計畫(IEP)。針對特殊個案，額外進行輔導或召開個案會議協調各方資源支持。</w:t>
      </w:r>
    </w:p>
    <w:p w:rsidR="007F1484" w:rsidRPr="001540BD" w:rsidRDefault="007F1484" w:rsidP="007F1484">
      <w:pPr>
        <w:numPr>
          <w:ilvl w:val="0"/>
          <w:numId w:val="4"/>
        </w:numPr>
        <w:snapToGrid w:val="0"/>
        <w:spacing w:line="440" w:lineRule="atLeast"/>
        <w:rPr>
          <w:rFonts w:ascii="標楷體" w:eastAsia="標楷體" w:hAnsi="標楷體" w:hint="eastAsia"/>
          <w:b/>
          <w:sz w:val="26"/>
          <w:szCs w:val="26"/>
        </w:rPr>
      </w:pPr>
      <w:r w:rsidRPr="001540BD">
        <w:rPr>
          <w:rFonts w:ascii="標楷體" w:eastAsia="標楷體" w:hAnsi="標楷體" w:hint="eastAsia"/>
          <w:b/>
          <w:sz w:val="26"/>
          <w:szCs w:val="26"/>
        </w:rPr>
        <w:t>鑑定安置</w:t>
      </w:r>
      <w:r w:rsidRPr="001540BD">
        <w:rPr>
          <w:rFonts w:ascii="標楷體" w:eastAsia="標楷體" w:hAnsi="標楷體" w:hint="eastAsia"/>
          <w:sz w:val="26"/>
          <w:szCs w:val="26"/>
        </w:rPr>
        <w:t>：評估學生能力與需求，鑑定其類別以安置適當教育環境，接受</w:t>
      </w:r>
      <w:proofErr w:type="gramStart"/>
      <w:r w:rsidRPr="001540BD">
        <w:rPr>
          <w:rFonts w:ascii="標楷體" w:eastAsia="標楷體" w:hAnsi="標楷體" w:hint="eastAsia"/>
          <w:sz w:val="26"/>
          <w:szCs w:val="26"/>
        </w:rPr>
        <w:t>適</w:t>
      </w:r>
      <w:proofErr w:type="gramEnd"/>
      <w:r w:rsidRPr="001540BD">
        <w:rPr>
          <w:rFonts w:ascii="標楷體" w:eastAsia="標楷體" w:hAnsi="標楷體" w:hint="eastAsia"/>
          <w:sz w:val="26"/>
          <w:szCs w:val="26"/>
        </w:rPr>
        <w:t>性教育。</w:t>
      </w:r>
    </w:p>
    <w:p w:rsidR="007F1484" w:rsidRPr="001540BD" w:rsidRDefault="007F1484" w:rsidP="007F1484">
      <w:pPr>
        <w:numPr>
          <w:ilvl w:val="0"/>
          <w:numId w:val="4"/>
        </w:numPr>
        <w:snapToGrid w:val="0"/>
        <w:spacing w:line="440" w:lineRule="atLeast"/>
        <w:rPr>
          <w:rFonts w:ascii="標楷體" w:eastAsia="標楷體" w:hAnsi="標楷體" w:hint="eastAsia"/>
          <w:b/>
          <w:sz w:val="26"/>
          <w:szCs w:val="26"/>
        </w:rPr>
      </w:pPr>
      <w:r w:rsidRPr="001540BD">
        <w:rPr>
          <w:rFonts w:ascii="標楷體" w:eastAsia="標楷體" w:hAnsi="標楷體" w:hint="eastAsia"/>
          <w:b/>
          <w:sz w:val="26"/>
          <w:szCs w:val="26"/>
        </w:rPr>
        <w:t>無障礙環境與輔具申請</w:t>
      </w:r>
    </w:p>
    <w:p w:rsidR="007F1484" w:rsidRPr="001540BD" w:rsidRDefault="007F1484" w:rsidP="007F1484">
      <w:pPr>
        <w:numPr>
          <w:ilvl w:val="0"/>
          <w:numId w:val="4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b/>
          <w:sz w:val="26"/>
          <w:szCs w:val="26"/>
        </w:rPr>
        <w:t>學雜費減免</w:t>
      </w:r>
      <w:r w:rsidRPr="001540BD">
        <w:rPr>
          <w:rFonts w:ascii="標楷體" w:eastAsia="標楷體" w:hAnsi="標楷體" w:hint="eastAsia"/>
          <w:sz w:val="26"/>
          <w:szCs w:val="26"/>
        </w:rPr>
        <w:t>：持鑑定證明者，於學費、雜費及實習實驗費減免四成費用。</w:t>
      </w:r>
    </w:p>
    <w:p w:rsidR="007F1484" w:rsidRPr="001540BD" w:rsidRDefault="007F1484" w:rsidP="007F1484">
      <w:pPr>
        <w:numPr>
          <w:ilvl w:val="0"/>
          <w:numId w:val="4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b/>
          <w:sz w:val="26"/>
          <w:szCs w:val="26"/>
        </w:rPr>
        <w:t>教學評量調整</w:t>
      </w:r>
      <w:r w:rsidRPr="001540BD">
        <w:rPr>
          <w:rFonts w:ascii="標楷體" w:eastAsia="標楷體" w:hAnsi="標楷體" w:hint="eastAsia"/>
          <w:sz w:val="26"/>
          <w:szCs w:val="26"/>
        </w:rPr>
        <w:t>：</w:t>
      </w:r>
    </w:p>
    <w:p w:rsidR="007F1484" w:rsidRPr="001540BD" w:rsidRDefault="007F1484" w:rsidP="007F1484">
      <w:pPr>
        <w:numPr>
          <w:ilvl w:val="1"/>
          <w:numId w:val="3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sz w:val="26"/>
          <w:szCs w:val="26"/>
        </w:rPr>
        <w:t>協助安排學習支持方案(如班級小天使、座位特別安排、作業指導等)。</w:t>
      </w:r>
    </w:p>
    <w:p w:rsidR="007F1484" w:rsidRPr="001540BD" w:rsidRDefault="007F1484" w:rsidP="007F1484">
      <w:pPr>
        <w:numPr>
          <w:ilvl w:val="1"/>
          <w:numId w:val="3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sz w:val="26"/>
          <w:szCs w:val="26"/>
        </w:rPr>
        <w:t>依個別化教育計畫(IEP)之理念，任課教師另視學生學習狀況及學習態度進行教學與評量調整。</w:t>
      </w:r>
    </w:p>
    <w:p w:rsidR="007F1484" w:rsidRPr="001540BD" w:rsidRDefault="007F1484" w:rsidP="007F1484">
      <w:pPr>
        <w:numPr>
          <w:ilvl w:val="1"/>
          <w:numId w:val="3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sz w:val="26"/>
          <w:szCs w:val="26"/>
        </w:rPr>
        <w:t>視需求，協助安排資源班特殊需求課程或補救教學，提供適合學生之能力與課業輔導，並增加額外之學期成績加分機會。</w:t>
      </w:r>
    </w:p>
    <w:p w:rsidR="007F1484" w:rsidRPr="001540BD" w:rsidRDefault="007F1484" w:rsidP="007F1484">
      <w:pPr>
        <w:numPr>
          <w:ilvl w:val="0"/>
          <w:numId w:val="4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b/>
          <w:sz w:val="26"/>
          <w:szCs w:val="26"/>
        </w:rPr>
        <w:t>特殊考試服務</w:t>
      </w:r>
      <w:r w:rsidRPr="001540BD">
        <w:rPr>
          <w:rFonts w:ascii="標楷體" w:eastAsia="標楷體" w:hAnsi="標楷體" w:hint="eastAsia"/>
          <w:sz w:val="26"/>
          <w:szCs w:val="26"/>
        </w:rPr>
        <w:t>：</w:t>
      </w:r>
    </w:p>
    <w:p w:rsidR="007F1484" w:rsidRPr="001540BD" w:rsidRDefault="007F1484" w:rsidP="007F1484">
      <w:pPr>
        <w:numPr>
          <w:ilvl w:val="0"/>
          <w:numId w:val="5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sz w:val="26"/>
          <w:szCs w:val="26"/>
        </w:rPr>
        <w:t>視需求，協助安排校內每次段考的特殊考試服務，如延長考試時間、特別考場、電腦打字、另行命題、報讀等服務。</w:t>
      </w:r>
    </w:p>
    <w:p w:rsidR="007F1484" w:rsidRPr="001540BD" w:rsidRDefault="007F1484" w:rsidP="007F1484">
      <w:pPr>
        <w:numPr>
          <w:ilvl w:val="0"/>
          <w:numId w:val="5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b/>
          <w:sz w:val="26"/>
          <w:szCs w:val="26"/>
        </w:rPr>
        <w:t>丙級檢定</w:t>
      </w:r>
      <w:r w:rsidRPr="001540BD">
        <w:rPr>
          <w:rFonts w:ascii="標楷體" w:eastAsia="標楷體" w:hAnsi="標楷體" w:hint="eastAsia"/>
          <w:sz w:val="26"/>
          <w:szCs w:val="26"/>
        </w:rPr>
        <w:t>亦可持鑑定證明申請視、聽、肢障特殊考試服務，以及</w:t>
      </w:r>
      <w:r w:rsidRPr="001540BD">
        <w:rPr>
          <w:rFonts w:ascii="標楷體" w:eastAsia="標楷體" w:hAnsi="標楷體" w:hint="eastAsia"/>
          <w:b/>
          <w:sz w:val="26"/>
          <w:szCs w:val="26"/>
        </w:rPr>
        <w:t>延長考試時間</w:t>
      </w:r>
      <w:r w:rsidRPr="001540BD">
        <w:rPr>
          <w:rFonts w:ascii="標楷體" w:eastAsia="標楷體" w:hAnsi="標楷體" w:hint="eastAsia"/>
          <w:sz w:val="26"/>
          <w:szCs w:val="26"/>
        </w:rPr>
        <w:t>(學科20分鐘、術科20%時間，只要有鑑定證明皆可申請)</w:t>
      </w:r>
    </w:p>
    <w:p w:rsidR="007F1484" w:rsidRPr="001540BD" w:rsidRDefault="007F1484" w:rsidP="007F1484">
      <w:pPr>
        <w:numPr>
          <w:ilvl w:val="0"/>
          <w:numId w:val="4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b/>
          <w:sz w:val="26"/>
          <w:szCs w:val="26"/>
        </w:rPr>
        <w:t>專業治療服務</w:t>
      </w:r>
      <w:r w:rsidRPr="001540BD">
        <w:rPr>
          <w:rFonts w:ascii="標楷體" w:eastAsia="標楷體" w:hAnsi="標楷體" w:hint="eastAsia"/>
          <w:sz w:val="26"/>
          <w:szCs w:val="26"/>
        </w:rPr>
        <w:t>：視需求，協助申請職能治療、物理治療、語言治療、定向行動、聽語訓練、心理諮詢等專業治療服務。</w:t>
      </w:r>
    </w:p>
    <w:p w:rsidR="007F1484" w:rsidRDefault="007F1484" w:rsidP="007F1484">
      <w:pPr>
        <w:numPr>
          <w:ilvl w:val="0"/>
          <w:numId w:val="4"/>
        </w:numPr>
        <w:snapToGrid w:val="0"/>
        <w:spacing w:line="440" w:lineRule="atLeast"/>
        <w:rPr>
          <w:rFonts w:ascii="標楷體" w:eastAsia="標楷體" w:hAnsi="標楷體" w:hint="eastAsia"/>
          <w:sz w:val="26"/>
          <w:szCs w:val="26"/>
        </w:rPr>
      </w:pPr>
      <w:r w:rsidRPr="001540BD">
        <w:rPr>
          <w:rFonts w:ascii="標楷體" w:eastAsia="標楷體" w:hAnsi="標楷體" w:hint="eastAsia"/>
          <w:b/>
          <w:sz w:val="26"/>
          <w:szCs w:val="26"/>
        </w:rPr>
        <w:t>升學就業輔導</w:t>
      </w:r>
      <w:r w:rsidRPr="001540BD">
        <w:rPr>
          <w:rFonts w:ascii="標楷體" w:eastAsia="標楷體" w:hAnsi="標楷體" w:hint="eastAsia"/>
          <w:sz w:val="26"/>
          <w:szCs w:val="26"/>
        </w:rPr>
        <w:t>：</w:t>
      </w:r>
    </w:p>
    <w:p w:rsidR="003560B3" w:rsidRPr="003560B3" w:rsidRDefault="003560B3" w:rsidP="003560B3">
      <w:pPr>
        <w:pStyle w:val="a4"/>
        <w:numPr>
          <w:ilvl w:val="2"/>
          <w:numId w:val="3"/>
        </w:numPr>
        <w:snapToGrid w:val="0"/>
        <w:spacing w:line="440" w:lineRule="atLeast"/>
        <w:ind w:leftChars="0"/>
        <w:rPr>
          <w:rFonts w:ascii="標楷體" w:eastAsia="標楷體" w:hAnsi="標楷體" w:hint="eastAsia"/>
          <w:sz w:val="26"/>
          <w:szCs w:val="26"/>
        </w:rPr>
      </w:pPr>
      <w:r w:rsidRPr="003560B3">
        <w:rPr>
          <w:rFonts w:ascii="標楷體" w:eastAsia="標楷體" w:hAnsi="標楷體" w:hint="eastAsia"/>
          <w:sz w:val="26"/>
          <w:szCs w:val="26"/>
        </w:rPr>
        <w:t>於高二下時，資源班將調查學生之升學與就業意願，提供升學相關資訊，另視需求安排職業輔導課程。</w:t>
      </w:r>
    </w:p>
    <w:p w:rsidR="003560B3" w:rsidRDefault="003560B3" w:rsidP="003560B3">
      <w:pPr>
        <w:pStyle w:val="a4"/>
        <w:numPr>
          <w:ilvl w:val="2"/>
          <w:numId w:val="3"/>
        </w:numPr>
        <w:snapToGrid w:val="0"/>
        <w:spacing w:line="440" w:lineRule="atLeast"/>
        <w:ind w:leftChars="0"/>
        <w:rPr>
          <w:rFonts w:ascii="標楷體" w:eastAsia="標楷體" w:hAnsi="標楷體" w:hint="eastAsia"/>
          <w:sz w:val="26"/>
          <w:szCs w:val="26"/>
        </w:rPr>
      </w:pPr>
      <w:r w:rsidRPr="003560B3">
        <w:rPr>
          <w:rFonts w:ascii="標楷體" w:eastAsia="標楷體" w:hAnsi="標楷體" w:hint="eastAsia"/>
          <w:sz w:val="26"/>
          <w:szCs w:val="26"/>
        </w:rPr>
        <w:t>持有手冊之特殊教育學生，如無繼續升學，資源班將轉</w:t>
      </w:r>
      <w:proofErr w:type="gramStart"/>
      <w:r w:rsidRPr="003560B3">
        <w:rPr>
          <w:rFonts w:ascii="標楷體" w:eastAsia="標楷體" w:hAnsi="標楷體" w:hint="eastAsia"/>
          <w:sz w:val="26"/>
          <w:szCs w:val="26"/>
        </w:rPr>
        <w:t>介勞</w:t>
      </w:r>
      <w:proofErr w:type="gramEnd"/>
      <w:r w:rsidRPr="003560B3">
        <w:rPr>
          <w:rFonts w:ascii="標楷體" w:eastAsia="標楷體" w:hAnsi="標楷體" w:hint="eastAsia"/>
          <w:sz w:val="26"/>
          <w:szCs w:val="26"/>
        </w:rPr>
        <w:t>政單位輔導。</w:t>
      </w:r>
    </w:p>
    <w:p w:rsidR="003560B3" w:rsidRPr="003560B3" w:rsidRDefault="003560B3" w:rsidP="003560B3">
      <w:pPr>
        <w:pStyle w:val="a4"/>
        <w:numPr>
          <w:ilvl w:val="2"/>
          <w:numId w:val="3"/>
        </w:numPr>
        <w:snapToGrid w:val="0"/>
        <w:spacing w:line="440" w:lineRule="atLeast"/>
        <w:ind w:leftChars="0"/>
        <w:rPr>
          <w:rFonts w:ascii="標楷體" w:eastAsia="標楷體" w:hAnsi="標楷體" w:hint="eastAsia"/>
          <w:sz w:val="26"/>
          <w:szCs w:val="26"/>
        </w:rPr>
      </w:pPr>
      <w:r w:rsidRPr="003560B3">
        <w:rPr>
          <w:rFonts w:ascii="標楷體" w:eastAsia="標楷體" w:hAnsi="標楷體" w:hint="eastAsia"/>
          <w:b/>
          <w:sz w:val="26"/>
          <w:szCs w:val="26"/>
        </w:rPr>
        <w:t>持有鑑定證明(或同時持有手冊)</w:t>
      </w:r>
      <w:r w:rsidRPr="003560B3">
        <w:rPr>
          <w:rFonts w:ascii="標楷體" w:eastAsia="標楷體" w:hAnsi="標楷體" w:hint="eastAsia"/>
          <w:sz w:val="26"/>
          <w:szCs w:val="26"/>
        </w:rPr>
        <w:t>之特殊教育學生，如欲繼續升學，資源班將提供身心障礙學生聯合甄試與各</w:t>
      </w:r>
      <w:proofErr w:type="gramStart"/>
      <w:r w:rsidRPr="003560B3">
        <w:rPr>
          <w:rFonts w:ascii="標楷體" w:eastAsia="標楷體" w:hAnsi="標楷體" w:hint="eastAsia"/>
          <w:sz w:val="26"/>
          <w:szCs w:val="26"/>
        </w:rPr>
        <w:t>校身障生獨招等</w:t>
      </w:r>
      <w:proofErr w:type="gramEnd"/>
      <w:r w:rsidRPr="003560B3">
        <w:rPr>
          <w:rFonts w:ascii="標楷體" w:eastAsia="標楷體" w:hAnsi="標楷體" w:hint="eastAsia"/>
          <w:sz w:val="26"/>
          <w:szCs w:val="26"/>
        </w:rPr>
        <w:t>升學管道與資訊。</w:t>
      </w:r>
    </w:p>
    <w:p w:rsidR="003560B3" w:rsidRPr="003560B3" w:rsidRDefault="003560B3" w:rsidP="007F1484">
      <w:pPr>
        <w:numPr>
          <w:ilvl w:val="0"/>
          <w:numId w:val="4"/>
        </w:numPr>
        <w:snapToGrid w:val="0"/>
        <w:spacing w:line="440" w:lineRule="atLeast"/>
        <w:rPr>
          <w:rFonts w:ascii="標楷體" w:eastAsia="標楷體" w:hAnsi="標楷體" w:hint="eastAsia"/>
          <w:b/>
          <w:sz w:val="26"/>
          <w:szCs w:val="26"/>
        </w:rPr>
      </w:pPr>
      <w:r w:rsidRPr="003560B3">
        <w:rPr>
          <w:rFonts w:ascii="標楷體" w:eastAsia="標楷體" w:hAnsi="標楷體" w:hint="eastAsia"/>
          <w:b/>
          <w:sz w:val="26"/>
          <w:szCs w:val="26"/>
        </w:rPr>
        <w:t>特教諮詢與宣導</w:t>
      </w:r>
    </w:p>
    <w:p w:rsidR="003560B3" w:rsidRPr="003560B3" w:rsidRDefault="003560B3" w:rsidP="003560B3">
      <w:pPr>
        <w:snapToGrid w:val="0"/>
        <w:spacing w:line="440" w:lineRule="atLeast"/>
        <w:ind w:left="862"/>
        <w:rPr>
          <w:rFonts w:ascii="標楷體" w:eastAsia="標楷體" w:hAnsi="標楷體" w:hint="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34D7F6" wp14:editId="4C4DE457">
            <wp:simplePos x="0" y="0"/>
            <wp:positionH relativeFrom="column">
              <wp:posOffset>4828540</wp:posOffset>
            </wp:positionH>
            <wp:positionV relativeFrom="paragraph">
              <wp:posOffset>532765</wp:posOffset>
            </wp:positionV>
            <wp:extent cx="1240155" cy="1391285"/>
            <wp:effectExtent l="0" t="0" r="0" b="0"/>
            <wp:wrapNone/>
            <wp:docPr id="1" name="圖片 1" descr="guidance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dance2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0B3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提供教學、輔導及行政面向諮詢，並視需求</w:t>
      </w:r>
      <w:r w:rsidRPr="003560B3">
        <w:rPr>
          <w:rFonts w:ascii="標楷體" w:eastAsia="標楷體" w:hAnsi="標楷體" w:hint="eastAsia"/>
          <w:color w:val="222222"/>
          <w:sz w:val="26"/>
          <w:szCs w:val="26"/>
          <w:shd w:val="clear" w:color="auto" w:fill="FFFFFF"/>
        </w:rPr>
        <w:t>進行入班宣導或特教研習活動，</w:t>
      </w:r>
      <w:r w:rsidRPr="003560B3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協助教師、家長更加瞭解特殊教育，幫助</w:t>
      </w:r>
      <w:r w:rsidRPr="003560B3">
        <w:rPr>
          <w:rFonts w:ascii="標楷體" w:eastAsia="標楷體" w:hAnsi="標楷體" w:hint="eastAsia"/>
          <w:color w:val="222222"/>
          <w:sz w:val="26"/>
          <w:szCs w:val="26"/>
          <w:shd w:val="clear" w:color="auto" w:fill="FFFFFF"/>
        </w:rPr>
        <w:t>學生更能</w:t>
      </w:r>
      <w:r w:rsidRPr="003560B3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適應學校環境。</w:t>
      </w:r>
    </w:p>
    <w:p w:rsidR="003560B3" w:rsidRDefault="003560B3" w:rsidP="007F1484">
      <w:pPr>
        <w:snapToGrid w:val="0"/>
        <w:spacing w:line="440" w:lineRule="atLeast"/>
        <w:rPr>
          <w:rFonts w:ascii="標楷體" w:eastAsia="標楷體" w:hAnsi="標楷體" w:hint="eastAsia"/>
          <w:sz w:val="36"/>
          <w:szCs w:val="26"/>
        </w:rPr>
      </w:pPr>
    </w:p>
    <w:p w:rsidR="007F1484" w:rsidRDefault="007F1484" w:rsidP="007F1484">
      <w:pPr>
        <w:snapToGrid w:val="0"/>
        <w:spacing w:line="440" w:lineRule="atLeast"/>
        <w:rPr>
          <w:rFonts w:ascii="標楷體" w:eastAsia="標楷體" w:hAnsi="標楷體" w:hint="eastAsia"/>
          <w:sz w:val="36"/>
          <w:szCs w:val="26"/>
        </w:rPr>
      </w:pPr>
      <w:r w:rsidRPr="00561CE1">
        <w:rPr>
          <w:rFonts w:ascii="標楷體" w:eastAsia="標楷體" w:hAnsi="標楷體" w:hint="eastAsia"/>
          <w:sz w:val="36"/>
          <w:szCs w:val="26"/>
        </w:rPr>
        <w:t>感謝您耐心地閱讀</w:t>
      </w:r>
      <w:r>
        <w:rPr>
          <w:rFonts w:ascii="標楷體" w:eastAsia="標楷體" w:hAnsi="標楷體" w:hint="eastAsia"/>
          <w:sz w:val="36"/>
          <w:szCs w:val="26"/>
        </w:rPr>
        <w:t>！</w:t>
      </w:r>
    </w:p>
    <w:p w:rsidR="007F1484" w:rsidRDefault="007F1484" w:rsidP="007F1484">
      <w:pPr>
        <w:snapToGrid w:val="0"/>
        <w:spacing w:line="440" w:lineRule="atLeast"/>
        <w:rPr>
          <w:rFonts w:ascii="標楷體" w:eastAsia="標楷體" w:hAnsi="標楷體" w:hint="eastAsia"/>
          <w:sz w:val="36"/>
          <w:szCs w:val="26"/>
        </w:rPr>
      </w:pPr>
      <w:r>
        <w:rPr>
          <w:rFonts w:ascii="標楷體" w:eastAsia="標楷體" w:hAnsi="標楷體" w:hint="eastAsia"/>
          <w:sz w:val="36"/>
          <w:szCs w:val="26"/>
        </w:rPr>
        <w:t>如有任何問題，請聯絡我們~</w:t>
      </w:r>
    </w:p>
    <w:p w:rsidR="00D47CA9" w:rsidRPr="003560B3" w:rsidRDefault="007F1484" w:rsidP="003560B3">
      <w:pPr>
        <w:snapToGrid w:val="0"/>
        <w:spacing w:line="440" w:lineRule="atLeast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學校電話：08-8662726  </w:t>
      </w:r>
      <w:r w:rsidRPr="00891B3B">
        <w:rPr>
          <w:rFonts w:ascii="標楷體" w:eastAsia="標楷體" w:hAnsi="標楷體" w:hint="eastAsia"/>
          <w:b/>
          <w:sz w:val="28"/>
          <w:szCs w:val="28"/>
        </w:rPr>
        <w:t>分機325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】</w:t>
      </w:r>
      <w:bookmarkStart w:id="0" w:name="_GoBack"/>
      <w:bookmarkEnd w:id="0"/>
      <w:proofErr w:type="gramEnd"/>
    </w:p>
    <w:sectPr w:rsidR="00D47CA9" w:rsidRPr="003560B3" w:rsidSect="003560B3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9EF"/>
    <w:multiLevelType w:val="hybridMultilevel"/>
    <w:tmpl w:val="8496DC16"/>
    <w:lvl w:ilvl="0" w:tplc="B85070B2">
      <w:start w:val="1"/>
      <w:numFmt w:val="decimal"/>
      <w:lvlText w:val="(%1)"/>
      <w:lvlJc w:val="left"/>
      <w:pPr>
        <w:ind w:left="1004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1CF51C28"/>
    <w:multiLevelType w:val="hybridMultilevel"/>
    <w:tmpl w:val="A992B50E"/>
    <w:lvl w:ilvl="0" w:tplc="9FA89186">
      <w:start w:val="1"/>
      <w:numFmt w:val="taiwaneseCountingThousand"/>
      <w:lvlText w:val="%1、"/>
      <w:lvlJc w:val="left"/>
      <w:pPr>
        <w:tabs>
          <w:tab w:val="num" w:pos="612"/>
        </w:tabs>
        <w:ind w:left="782" w:hanging="602"/>
      </w:pPr>
      <w:rPr>
        <w:rFonts w:hint="default"/>
        <w:lang w:val="en-US"/>
      </w:rPr>
    </w:lvl>
    <w:lvl w:ilvl="1" w:tplc="B9DCC72A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2" w:tplc="47C498D0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5"/>
        </w:tabs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5"/>
        </w:tabs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5"/>
        </w:tabs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80"/>
      </w:pPr>
    </w:lvl>
  </w:abstractNum>
  <w:abstractNum w:abstractNumId="2">
    <w:nsid w:val="37F147C9"/>
    <w:multiLevelType w:val="hybridMultilevel"/>
    <w:tmpl w:val="496AB832"/>
    <w:lvl w:ilvl="0" w:tplc="B9DCC72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>
    <w:nsid w:val="63CF436B"/>
    <w:multiLevelType w:val="hybridMultilevel"/>
    <w:tmpl w:val="1BA8681A"/>
    <w:lvl w:ilvl="0" w:tplc="92CE8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E716BE"/>
    <w:multiLevelType w:val="hybridMultilevel"/>
    <w:tmpl w:val="41ACD8E8"/>
    <w:lvl w:ilvl="0" w:tplc="B9DCC72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5">
    <w:nsid w:val="6FE85BD1"/>
    <w:multiLevelType w:val="hybridMultilevel"/>
    <w:tmpl w:val="3DEA9E5E"/>
    <w:lvl w:ilvl="0" w:tplc="0D5AAAB6">
      <w:start w:val="1"/>
      <w:numFmt w:val="taiwaneseCountingThousand"/>
      <w:lvlText w:val="(%1)"/>
      <w:lvlJc w:val="left"/>
      <w:pPr>
        <w:ind w:left="862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84"/>
    <w:rsid w:val="000529F3"/>
    <w:rsid w:val="003560B3"/>
    <w:rsid w:val="007F1484"/>
    <w:rsid w:val="00D47CA9"/>
    <w:rsid w:val="00E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84"/>
    <w:pPr>
      <w:widowControl w:val="0"/>
    </w:pPr>
    <w:rPr>
      <w:rFonts w:eastAsia="新細明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60B3"/>
    <w:rPr>
      <w:b/>
      <w:bCs/>
    </w:rPr>
  </w:style>
  <w:style w:type="paragraph" w:styleId="a4">
    <w:name w:val="List Paragraph"/>
    <w:basedOn w:val="a"/>
    <w:uiPriority w:val="34"/>
    <w:qFormat/>
    <w:rsid w:val="003560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84"/>
    <w:pPr>
      <w:widowControl w:val="0"/>
    </w:pPr>
    <w:rPr>
      <w:rFonts w:eastAsia="新細明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60B3"/>
    <w:rPr>
      <w:b/>
      <w:bCs/>
    </w:rPr>
  </w:style>
  <w:style w:type="paragraph" w:styleId="a4">
    <w:name w:val="List Paragraph"/>
    <w:basedOn w:val="a"/>
    <w:uiPriority w:val="34"/>
    <w:qFormat/>
    <w:rsid w:val="003560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2018-07-11T06:45:00Z</dcterms:created>
  <dcterms:modified xsi:type="dcterms:W3CDTF">2018-07-11T07:35:00Z</dcterms:modified>
</cp:coreProperties>
</file>