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34B734" w14:textId="77777777" w:rsidR="00FF195D" w:rsidRDefault="00FF195D">
      <w:pPr>
        <w:rPr>
          <w:rFonts w:ascii="標楷體" w:eastAsia="標楷體" w:hAnsi="標楷體" w:cs="Times New Roman"/>
        </w:rPr>
      </w:pPr>
    </w:p>
    <w:p w14:paraId="1E651072" w14:textId="49F36699" w:rsidR="00D90816" w:rsidRPr="000D2AF2" w:rsidRDefault="00D90816" w:rsidP="00D90816">
      <w:pPr>
        <w:rPr>
          <w:b/>
          <w:sz w:val="32"/>
          <w:szCs w:val="32"/>
        </w:rPr>
      </w:pPr>
    </w:p>
    <w:p w14:paraId="2634B4FD" w14:textId="77777777"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332A19" w:rsidRPr="00A05109" w14:paraId="3918F200" w14:textId="77777777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02401" w14:textId="77777777" w:rsidR="00332A19" w:rsidRPr="00A05109" w:rsidRDefault="00332A19" w:rsidP="00332A1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94208E4" w14:textId="5B7B74FB" w:rsidR="00332A19" w:rsidRPr="00A05109" w:rsidRDefault="00332A19" w:rsidP="00332A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拉糖工藝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BD417" w14:textId="7E544A36" w:rsidR="00332A19" w:rsidRPr="00A05109" w:rsidRDefault="00332A19" w:rsidP="00332A1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1EE45837" w14:textId="1DF1C1D4" w:rsidR="00332A19" w:rsidRPr="00A05109" w:rsidRDefault="005350A1" w:rsidP="00332A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素養教師社群</w:t>
            </w:r>
          </w:p>
        </w:tc>
      </w:tr>
      <w:tr w:rsidR="00332A19" w:rsidRPr="00A05109" w14:paraId="24EDCDA8" w14:textId="77777777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08B070" w14:textId="77777777" w:rsidR="00332A19" w:rsidRPr="00A05109" w:rsidRDefault="00332A19" w:rsidP="00332A1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21656246" w14:textId="1C5248E1" w:rsidR="00332A19" w:rsidRPr="00A05109" w:rsidRDefault="00332A19" w:rsidP="00332A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7EA00" w14:textId="13235052" w:rsidR="00332A19" w:rsidRPr="00A05109" w:rsidRDefault="00332A19" w:rsidP="00332A1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1858E249" w14:textId="6FED6D9B" w:rsidR="00332A19" w:rsidRPr="00A05109" w:rsidRDefault="00332A19" w:rsidP="00332A1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Pr="00783B41">
              <w:rPr>
                <w:rFonts w:ascii="Times New Roman" w:eastAsia="標楷體" w:hAnsi="Times New Roman" w:hint="eastAsia"/>
              </w:rPr>
              <w:t xml:space="preserve"> </w:t>
            </w:r>
            <w:r w:rsidRPr="00783B41">
              <w:rPr>
                <w:rFonts w:ascii="Times New Roman" w:eastAsia="標楷體" w:hAnsi="Times New Roman" w:hint="eastAsia"/>
              </w:rPr>
              <w:t>節課</w:t>
            </w:r>
            <w:r w:rsidRPr="00783B41">
              <w:rPr>
                <w:rFonts w:ascii="Times New Roman" w:eastAsia="標楷體" w:hAnsi="Times New Roman" w:hint="eastAsia"/>
              </w:rPr>
              <w:t>/1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783B41">
              <w:rPr>
                <w:rFonts w:ascii="Times New Roman" w:eastAsia="標楷體" w:hAnsi="Times New Roman" w:hint="eastAsia"/>
              </w:rPr>
              <w:t xml:space="preserve">0 </w:t>
            </w:r>
            <w:r w:rsidRPr="00783B41">
              <w:rPr>
                <w:rFonts w:ascii="Times New Roman" w:eastAsia="標楷體" w:hAnsi="Times New Roman" w:hint="eastAsia"/>
              </w:rPr>
              <w:t>分鐘</w:t>
            </w:r>
          </w:p>
        </w:tc>
      </w:tr>
      <w:tr w:rsidR="00332A19" w:rsidRPr="00A05109" w14:paraId="09BBA3F6" w14:textId="77777777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77647" w14:textId="77777777" w:rsidR="00332A19" w:rsidRPr="00A05109" w:rsidRDefault="00332A19" w:rsidP="00332A1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D81703D" w14:textId="568F7156" w:rsidR="00332A19" w:rsidRPr="00A05109" w:rsidRDefault="00332A19" w:rsidP="00332A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糖工藝探討</w:t>
            </w:r>
          </w:p>
        </w:tc>
      </w:tr>
      <w:tr w:rsidR="00D90816" w:rsidRPr="00A05109" w14:paraId="22CABD87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E8DD8F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14:paraId="655A02BD" w14:textId="77777777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D5A68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5D61811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A36F70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745A6" w14:textId="77777777" w:rsidR="00332A19" w:rsidRPr="00332A19" w:rsidRDefault="00332A19" w:rsidP="00332A19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b/>
              </w:rPr>
            </w:pPr>
            <w:r w:rsidRPr="00332A19">
              <w:rPr>
                <w:rFonts w:ascii="Times New Roman" w:eastAsia="標楷體" w:hAnsi="Times New Roman" w:hint="eastAsia"/>
                <w:b/>
              </w:rPr>
              <w:t>了解並能善用科技、資訊媒體與系統性方法，展現國際移動的能力</w:t>
            </w:r>
          </w:p>
          <w:p w14:paraId="4D73C714" w14:textId="1017CFDE" w:rsidR="00D90816" w:rsidRPr="00A05109" w:rsidRDefault="00332A19" w:rsidP="00332A19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332A19">
              <w:rPr>
                <w:rFonts w:ascii="Times New Roman" w:eastAsia="標楷體" w:hAnsi="Times New Roman" w:hint="eastAsia"/>
                <w:b/>
              </w:rPr>
              <w:t>學習以網際網路進行</w:t>
            </w:r>
            <w:proofErr w:type="gramStart"/>
            <w:r w:rsidRPr="00332A19">
              <w:rPr>
                <w:rFonts w:ascii="Times New Roman" w:eastAsia="標楷體" w:hAnsi="Times New Roman" w:hint="eastAsia"/>
                <w:b/>
              </w:rPr>
              <w:t>各國糖</w:t>
            </w:r>
            <w:proofErr w:type="gramEnd"/>
            <w:r w:rsidRPr="00332A19">
              <w:rPr>
                <w:rFonts w:ascii="Times New Roman" w:eastAsia="標楷體" w:hAnsi="Times New Roman" w:hint="eastAsia"/>
                <w:b/>
              </w:rPr>
              <w:t>工藝探討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937E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FD33F3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1626B0D1" w14:textId="2420DB26" w:rsidR="00D90816" w:rsidRPr="00F648FC" w:rsidRDefault="00332A19" w:rsidP="00F648FC">
            <w:pPr>
              <w:pStyle w:val="ac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332A19">
              <w:rPr>
                <w:rFonts w:ascii="Times New Roman" w:eastAsia="標楷體" w:hAnsi="Times New Roman" w:hint="eastAsia"/>
                <w:b/>
              </w:rPr>
              <w:t>加</w:t>
            </w:r>
            <w:r w:rsidRPr="00332A19">
              <w:rPr>
                <w:rFonts w:ascii="Times New Roman" w:eastAsia="標楷體" w:hAnsi="Times New Roman" w:hint="eastAsia"/>
                <w:b/>
              </w:rPr>
              <w:t>V-U-C3</w:t>
            </w:r>
            <w:r w:rsidRPr="00332A19">
              <w:rPr>
                <w:rFonts w:ascii="Times New Roman" w:eastAsia="標楷體" w:hAnsi="Times New Roman" w:hint="eastAsia"/>
                <w:b/>
              </w:rPr>
              <w:t>、運用資訊科技能力及跨文化溝通能力，從而能付諸行動，致力於終身學習。</w:t>
            </w:r>
          </w:p>
        </w:tc>
      </w:tr>
      <w:tr w:rsidR="00D90816" w:rsidRPr="00A05109" w14:paraId="3EB8BE0F" w14:textId="77777777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7EB1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1E64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878" w14:textId="677F8CCF" w:rsidR="00F648FC" w:rsidRPr="00A05109" w:rsidRDefault="00332A19" w:rsidP="00F648FC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332A19">
              <w:rPr>
                <w:rFonts w:ascii="Times New Roman" w:eastAsia="標楷體" w:hAnsi="Times New Roman" w:hint="eastAsia"/>
                <w:b/>
              </w:rPr>
              <w:t>網路搜尋</w:t>
            </w:r>
            <w:proofErr w:type="gramStart"/>
            <w:r w:rsidRPr="00332A19">
              <w:rPr>
                <w:rFonts w:ascii="Times New Roman" w:eastAsia="標楷體" w:hAnsi="Times New Roman" w:hint="eastAsia"/>
                <w:b/>
              </w:rPr>
              <w:t>各國糖</w:t>
            </w:r>
            <w:proofErr w:type="gramEnd"/>
            <w:r w:rsidRPr="00332A19">
              <w:rPr>
                <w:rFonts w:ascii="Times New Roman" w:eastAsia="標楷體" w:hAnsi="Times New Roman" w:hint="eastAsia"/>
                <w:b/>
              </w:rPr>
              <w:t>工藝作品，以其為模型作為報告主軸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84EC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4FF32AA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14:paraId="09A847BF" w14:textId="77777777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01A6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11E253F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BBDD1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CDF121" w14:textId="4D2CBE07" w:rsidR="00D90816" w:rsidRPr="00A05109" w:rsidRDefault="00332A19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332A19">
              <w:rPr>
                <w:rFonts w:ascii="Times New Roman" w:eastAsia="標楷體" w:hAnsi="Times New Roman" w:hint="eastAsia"/>
                <w:b/>
              </w:rPr>
              <w:t>以總綱國際教育議題為考量學習強化國際移動力，能體認國際能力養成的重要性運用資訊科技能力及跨文化溝通能力，從而能付諸行動，致力於終身學習。</w:t>
            </w:r>
          </w:p>
        </w:tc>
      </w:tr>
      <w:tr w:rsidR="00D90816" w:rsidRPr="00A05109" w14:paraId="28764A9B" w14:textId="77777777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7D52C2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80C804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3BC24FA5" w14:textId="58693E13" w:rsidR="00D90816" w:rsidRPr="00A05109" w:rsidRDefault="00332A19" w:rsidP="00DC397C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332A19">
              <w:rPr>
                <w:rFonts w:ascii="Times New Roman" w:eastAsia="標楷體" w:hAnsi="Times New Roman" w:hint="eastAsia"/>
                <w:b/>
                <w:color w:val="auto"/>
              </w:rPr>
              <w:t>學習表現：經由網際網路進行</w:t>
            </w:r>
            <w:proofErr w:type="gramStart"/>
            <w:r w:rsidRPr="00332A19">
              <w:rPr>
                <w:rFonts w:ascii="Times New Roman" w:eastAsia="標楷體" w:hAnsi="Times New Roman" w:hint="eastAsia"/>
                <w:b/>
                <w:color w:val="auto"/>
              </w:rPr>
              <w:t>各國糖</w:t>
            </w:r>
            <w:proofErr w:type="gramEnd"/>
            <w:r w:rsidRPr="00332A19">
              <w:rPr>
                <w:rFonts w:ascii="Times New Roman" w:eastAsia="標楷體" w:hAnsi="Times New Roman" w:hint="eastAsia"/>
                <w:b/>
                <w:color w:val="auto"/>
              </w:rPr>
              <w:t>工藝探討，運用資訊科技能力及跨文化溝通能力達成國際教育之議題探討。</w:t>
            </w:r>
          </w:p>
        </w:tc>
      </w:tr>
      <w:tr w:rsidR="00D90816" w:rsidRPr="00A05109" w14:paraId="66D4D7D8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D18D1B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14:paraId="1C32E055" w14:textId="2E1BE83F" w:rsidR="00D90816" w:rsidRPr="00A05109" w:rsidRDefault="00DC397C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DC397C">
              <w:rPr>
                <w:rFonts w:ascii="Times New Roman" w:eastAsia="標楷體" w:hAnsi="Times New Roman" w:hint="eastAsia"/>
                <w:b/>
              </w:rPr>
              <w:t>無</w:t>
            </w:r>
          </w:p>
        </w:tc>
      </w:tr>
      <w:tr w:rsidR="00D90816" w:rsidRPr="00A05109" w14:paraId="63ECB9A7" w14:textId="77777777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E6977C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5B063" w14:textId="516D54CF" w:rsidR="00D90816" w:rsidRPr="00A05109" w:rsidRDefault="00DC397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自編教材</w:t>
            </w:r>
          </w:p>
        </w:tc>
      </w:tr>
      <w:tr w:rsidR="00D90816" w:rsidRPr="00A05109" w14:paraId="77476093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B9B26E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A2FCFE5" w14:textId="33359254" w:rsidR="00D90816" w:rsidRPr="00A05109" w:rsidRDefault="00332A19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332A19">
              <w:rPr>
                <w:rFonts w:ascii="Times New Roman" w:eastAsia="標楷體" w:hAnsi="Times New Roman" w:hint="eastAsia"/>
                <w:b/>
              </w:rPr>
              <w:t>科技設備</w:t>
            </w:r>
            <w:r w:rsidRPr="00332A19">
              <w:rPr>
                <w:rFonts w:ascii="Times New Roman" w:eastAsia="標楷體" w:hAnsi="Times New Roman" w:hint="eastAsia"/>
                <w:b/>
              </w:rPr>
              <w:t>-</w:t>
            </w:r>
            <w:r w:rsidRPr="00332A19">
              <w:rPr>
                <w:rFonts w:ascii="Times New Roman" w:eastAsia="標楷體" w:hAnsi="Times New Roman" w:hint="eastAsia"/>
                <w:b/>
              </w:rPr>
              <w:t>電腦及網際網路</w:t>
            </w:r>
          </w:p>
        </w:tc>
      </w:tr>
      <w:tr w:rsidR="00D90816" w:rsidRPr="00A05109" w14:paraId="229B5971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850E62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14:paraId="611B3C47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54A5472" w14:textId="77777777" w:rsidR="00332A19" w:rsidRPr="00332A19" w:rsidRDefault="00332A19" w:rsidP="00332A19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b/>
              </w:rPr>
            </w:pPr>
            <w:r w:rsidRPr="00332A19">
              <w:rPr>
                <w:rFonts w:ascii="Times New Roman" w:eastAsia="標楷體" w:hAnsi="Times New Roman" w:hint="eastAsia"/>
                <w:b/>
              </w:rPr>
              <w:t>學習目標：經由網際網路進行</w:t>
            </w:r>
            <w:proofErr w:type="gramStart"/>
            <w:r w:rsidRPr="00332A19">
              <w:rPr>
                <w:rFonts w:ascii="Times New Roman" w:eastAsia="標楷體" w:hAnsi="Times New Roman" w:hint="eastAsia"/>
                <w:b/>
              </w:rPr>
              <w:t>各國糖</w:t>
            </w:r>
            <w:proofErr w:type="gramEnd"/>
            <w:r w:rsidRPr="00332A19">
              <w:rPr>
                <w:rFonts w:ascii="Times New Roman" w:eastAsia="標楷體" w:hAnsi="Times New Roman" w:hint="eastAsia"/>
                <w:b/>
              </w:rPr>
              <w:t>工藝探討，運用資訊科技能力及跨文化溝通能力達成國際教育之議題探討。</w:t>
            </w:r>
          </w:p>
          <w:p w14:paraId="4280C53B" w14:textId="1A2893C2" w:rsidR="00E70025" w:rsidRPr="00332A19" w:rsidRDefault="00332A19" w:rsidP="00332A19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332A19">
              <w:rPr>
                <w:rFonts w:ascii="Times New Roman" w:eastAsia="標楷體" w:hAnsi="Times New Roman" w:hint="eastAsia"/>
                <w:b/>
              </w:rPr>
              <w:t>加</w:t>
            </w:r>
            <w:r w:rsidRPr="00332A19">
              <w:rPr>
                <w:rFonts w:ascii="Times New Roman" w:eastAsia="標楷體" w:hAnsi="Times New Roman" w:hint="eastAsia"/>
                <w:b/>
              </w:rPr>
              <w:t>V-U-C3</w:t>
            </w:r>
            <w:r w:rsidRPr="00332A19">
              <w:rPr>
                <w:rFonts w:ascii="Times New Roman" w:eastAsia="標楷體" w:hAnsi="Times New Roman" w:hint="eastAsia"/>
                <w:b/>
              </w:rPr>
              <w:t>適當運用科技、資訊之素養</w:t>
            </w:r>
          </w:p>
        </w:tc>
      </w:tr>
    </w:tbl>
    <w:p w14:paraId="6CE45372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40"/>
        <w:gridCol w:w="992"/>
        <w:gridCol w:w="1257"/>
      </w:tblGrid>
      <w:tr w:rsidR="00D90816" w:rsidRPr="00A05109" w14:paraId="675526D2" w14:textId="77777777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E622C9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14:paraId="255B04AC" w14:textId="77777777" w:rsidTr="00783B41">
        <w:trPr>
          <w:trHeight w:val="70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BF263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9392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83A4EE" w14:textId="66C94C00" w:rsidR="00D90816" w:rsidRPr="00A05109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學習評量</w:t>
            </w:r>
          </w:p>
        </w:tc>
      </w:tr>
      <w:tr w:rsidR="00D90816" w:rsidRPr="00A05109" w14:paraId="7ACA4482" w14:textId="77777777" w:rsidTr="00783B41">
        <w:trPr>
          <w:trHeight w:val="56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</w:tcPr>
          <w:p w14:paraId="4ED5C43D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壹、</w:t>
            </w:r>
            <w:r w:rsidRPr="00D62DC3">
              <w:rPr>
                <w:rFonts w:ascii="Times New Roman" w:eastAsia="標楷體" w:hAnsi="Times New Roman" w:hint="eastAsia"/>
              </w:rPr>
              <w:t xml:space="preserve"> </w:t>
            </w:r>
            <w:r w:rsidRPr="00D62DC3">
              <w:rPr>
                <w:rFonts w:ascii="Times New Roman" w:eastAsia="標楷體" w:hAnsi="Times New Roman" w:hint="eastAsia"/>
              </w:rPr>
              <w:t>準備活動</w:t>
            </w:r>
          </w:p>
          <w:p w14:paraId="79D63871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一、教師</w:t>
            </w:r>
          </w:p>
          <w:p w14:paraId="7B936178" w14:textId="5FBA7E24" w:rsidR="00E70025" w:rsidRPr="00D62DC3" w:rsidRDefault="00D62DC3" w:rsidP="00E70025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D62DC3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D62DC3">
              <w:rPr>
                <w:rFonts w:ascii="Times New Roman" w:eastAsia="標楷體" w:hAnsi="Times New Roman" w:hint="eastAsia"/>
              </w:rPr>
              <w:t>)</w:t>
            </w:r>
            <w:r w:rsidR="00E70025">
              <w:rPr>
                <w:rFonts w:ascii="Times New Roman" w:eastAsia="標楷體" w:hAnsi="Times New Roman" w:hint="eastAsia"/>
              </w:rPr>
              <w:t>蒐集</w:t>
            </w:r>
            <w:proofErr w:type="gramStart"/>
            <w:r w:rsidR="00332A19">
              <w:rPr>
                <w:rFonts w:ascii="Times New Roman" w:eastAsia="標楷體" w:hAnsi="Times New Roman" w:hint="eastAsia"/>
              </w:rPr>
              <w:t>各國糖</w:t>
            </w:r>
            <w:proofErr w:type="gramEnd"/>
            <w:r w:rsidR="00332A19">
              <w:rPr>
                <w:rFonts w:ascii="Times New Roman" w:eastAsia="標楷體" w:hAnsi="Times New Roman" w:hint="eastAsia"/>
              </w:rPr>
              <w:t>工藝</w:t>
            </w:r>
            <w:r w:rsidR="00E70025">
              <w:rPr>
                <w:rFonts w:ascii="Times New Roman" w:eastAsia="標楷體" w:hAnsi="Times New Roman" w:hint="eastAsia"/>
              </w:rPr>
              <w:t>資料</w:t>
            </w:r>
            <w:r w:rsidR="00E70025">
              <w:rPr>
                <w:rFonts w:ascii="標楷體" w:eastAsia="標楷體" w:hAnsi="標楷體" w:hint="eastAsia"/>
              </w:rPr>
              <w:t>。</w:t>
            </w:r>
            <w:r w:rsidR="00E70025" w:rsidRPr="00D62DC3">
              <w:rPr>
                <w:rFonts w:ascii="Times New Roman" w:eastAsia="標楷體" w:hAnsi="Times New Roman"/>
              </w:rPr>
              <w:t xml:space="preserve"> </w:t>
            </w:r>
          </w:p>
          <w:p w14:paraId="40597A95" w14:textId="4E4321E5" w:rsidR="00D62DC3" w:rsidRPr="00D62DC3" w:rsidRDefault="00E70025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準備</w:t>
            </w: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 w:rsidR="00332A19">
              <w:rPr>
                <w:rFonts w:ascii="標楷體" w:eastAsia="標楷體" w:hAnsi="標楷體" w:hint="eastAsia"/>
              </w:rPr>
              <w:t>各國糖</w:t>
            </w:r>
            <w:proofErr w:type="gramEnd"/>
            <w:r w:rsidR="00332A19">
              <w:rPr>
                <w:rFonts w:ascii="標楷體" w:eastAsia="標楷體" w:hAnsi="標楷體" w:hint="eastAsia"/>
              </w:rPr>
              <w:t>工藝</w:t>
            </w:r>
            <w:r>
              <w:rPr>
                <w:rFonts w:ascii="標楷體" w:eastAsia="標楷體" w:hAnsi="標楷體" w:hint="eastAsia"/>
              </w:rPr>
              <w:t>」</w:t>
            </w:r>
            <w:r w:rsidR="00332A19">
              <w:rPr>
                <w:rFonts w:ascii="標楷體" w:eastAsia="標楷體" w:hAnsi="標楷體" w:hint="eastAsia"/>
              </w:rPr>
              <w:t>探討</w:t>
            </w:r>
            <w:r>
              <w:rPr>
                <w:rFonts w:ascii="Times New Roman" w:eastAsia="標楷體" w:hAnsi="Times New Roman" w:hint="eastAsia"/>
              </w:rPr>
              <w:t>PPT</w:t>
            </w:r>
          </w:p>
          <w:p w14:paraId="49E34B4F" w14:textId="6E89ED68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(</w:t>
            </w:r>
            <w:r w:rsidRPr="00D62DC3">
              <w:rPr>
                <w:rFonts w:ascii="Times New Roman" w:eastAsia="標楷體" w:hAnsi="Times New Roman" w:hint="eastAsia"/>
              </w:rPr>
              <w:t>三</w:t>
            </w:r>
            <w:r w:rsidRPr="00D62DC3">
              <w:rPr>
                <w:rFonts w:ascii="Times New Roman" w:eastAsia="標楷體" w:hAnsi="Times New Roman" w:hint="eastAsia"/>
              </w:rPr>
              <w:t>)</w:t>
            </w:r>
            <w:r w:rsidRPr="00D62DC3">
              <w:rPr>
                <w:rFonts w:ascii="Times New Roman" w:eastAsia="標楷體" w:hAnsi="Times New Roman" w:hint="eastAsia"/>
              </w:rPr>
              <w:t>檢視上課所使用</w:t>
            </w:r>
            <w:r w:rsidR="00514EA7">
              <w:rPr>
                <w:rFonts w:ascii="Times New Roman" w:eastAsia="標楷體" w:hAnsi="Times New Roman" w:hint="eastAsia"/>
              </w:rPr>
              <w:t>電腦設備</w:t>
            </w:r>
            <w:r w:rsidRPr="00D62DC3">
              <w:rPr>
                <w:rFonts w:ascii="Times New Roman" w:eastAsia="標楷體" w:hAnsi="Times New Roman" w:hint="eastAsia"/>
              </w:rPr>
              <w:t>是否可正常運轉</w:t>
            </w:r>
            <w:r w:rsidR="00783B41">
              <w:rPr>
                <w:rFonts w:ascii="標楷體" w:eastAsia="標楷體" w:hAnsi="標楷體" w:hint="eastAsia"/>
              </w:rPr>
              <w:t>。</w:t>
            </w:r>
          </w:p>
          <w:p w14:paraId="2FCCFF33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二、學生</w:t>
            </w:r>
          </w:p>
          <w:p w14:paraId="65FDB5E2" w14:textId="1DB8802A" w:rsidR="00D90816" w:rsidRPr="00A05109" w:rsidRDefault="00646FDF" w:rsidP="00E70025">
            <w:pPr>
              <w:ind w:left="480"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參訪</w:t>
            </w:r>
            <w:r w:rsidR="00D62DC3" w:rsidRPr="00D62DC3">
              <w:rPr>
                <w:rFonts w:ascii="Times New Roman" w:eastAsia="標楷體" w:hAnsi="Times New Roman" w:hint="eastAsia"/>
              </w:rPr>
              <w:t>分組</w:t>
            </w:r>
            <w:r w:rsidR="00514EA7">
              <w:rPr>
                <w:rFonts w:ascii="標楷體" w:eastAsia="標楷體" w:hAnsi="標楷體" w:hint="eastAsia"/>
              </w:rPr>
              <w:t>，</w:t>
            </w:r>
            <w:r w:rsidR="00332A19">
              <w:rPr>
                <w:rFonts w:ascii="標楷體" w:eastAsia="標楷體" w:hAnsi="標楷體" w:hint="eastAsia"/>
              </w:rPr>
              <w:t>4</w:t>
            </w:r>
            <w:r w:rsidR="00D62DC3" w:rsidRPr="00D62DC3">
              <w:rPr>
                <w:rFonts w:ascii="Times New Roman" w:eastAsia="標楷體" w:hAnsi="Times New Roman" w:hint="eastAsia"/>
              </w:rPr>
              <w:t xml:space="preserve"> </w:t>
            </w:r>
            <w:r w:rsidR="00D62DC3" w:rsidRPr="00D62DC3">
              <w:rPr>
                <w:rFonts w:ascii="Times New Roman" w:eastAsia="標楷體" w:hAnsi="Times New Roman" w:hint="eastAsia"/>
              </w:rPr>
              <w:t>人</w:t>
            </w:r>
            <w:r w:rsidR="00D62DC3" w:rsidRPr="00D62DC3">
              <w:rPr>
                <w:rFonts w:ascii="Times New Roman" w:eastAsia="標楷體" w:hAnsi="Times New Roman" w:hint="eastAsia"/>
              </w:rPr>
              <w:t>/</w:t>
            </w:r>
            <w:r w:rsidR="00D62DC3" w:rsidRPr="00D62DC3">
              <w:rPr>
                <w:rFonts w:ascii="Times New Roman" w:eastAsia="標楷體" w:hAnsi="Times New Roman" w:hint="eastAsia"/>
              </w:rPr>
              <w:t>組為原則。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6E0" w14:textId="6D839E75" w:rsidR="00D90816" w:rsidRPr="00A05109" w:rsidRDefault="00D62DC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14:paraId="49A284B7" w14:textId="537585B9" w:rsidR="00D90816" w:rsidRPr="00A05109" w:rsidRDefault="00D90816" w:rsidP="00783B41">
            <w:pPr>
              <w:ind w:left="480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62DC3" w:rsidRPr="00A05109" w14:paraId="65D9A5D8" w14:textId="77777777" w:rsidTr="00783B41">
        <w:trPr>
          <w:trHeight w:val="56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</w:tcPr>
          <w:p w14:paraId="277B3F6B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貳、</w:t>
            </w:r>
            <w:r w:rsidRPr="00D62DC3">
              <w:rPr>
                <w:rFonts w:ascii="Times New Roman" w:eastAsia="標楷體" w:hAnsi="Times New Roman" w:hint="eastAsia"/>
              </w:rPr>
              <w:t xml:space="preserve"> </w:t>
            </w:r>
            <w:r w:rsidRPr="00D62DC3">
              <w:rPr>
                <w:rFonts w:ascii="Times New Roman" w:eastAsia="標楷體" w:hAnsi="Times New Roman" w:hint="eastAsia"/>
              </w:rPr>
              <w:t>發展活動</w:t>
            </w:r>
          </w:p>
          <w:p w14:paraId="2713D7C2" w14:textId="77777777" w:rsid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一、引起動機</w:t>
            </w:r>
          </w:p>
          <w:p w14:paraId="71607A98" w14:textId="2165BB44" w:rsid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D62DC3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D62DC3">
              <w:rPr>
                <w:rFonts w:ascii="Times New Roman" w:eastAsia="標楷體" w:hAnsi="Times New Roman" w:hint="eastAsia"/>
              </w:rPr>
              <w:t>)</w:t>
            </w:r>
            <w:r w:rsidR="00E70025">
              <w:rPr>
                <w:rFonts w:ascii="Times New Roman" w:eastAsia="標楷體" w:hAnsi="Times New Roman" w:hint="eastAsia"/>
              </w:rPr>
              <w:t>教師先說明</w:t>
            </w:r>
            <w:r w:rsidR="00332A19">
              <w:rPr>
                <w:rFonts w:ascii="Times New Roman" w:eastAsia="標楷體" w:hAnsi="Times New Roman" w:hint="eastAsia"/>
              </w:rPr>
              <w:t>國際</w:t>
            </w:r>
            <w:r w:rsidR="00332A19" w:rsidRPr="00332A19">
              <w:rPr>
                <w:rFonts w:ascii="Times New Roman" w:eastAsia="標楷體" w:hAnsi="Times New Roman" w:hint="eastAsia"/>
              </w:rPr>
              <w:t>多元文化與國際理解</w:t>
            </w:r>
            <w:r w:rsidR="00332A19">
              <w:rPr>
                <w:rFonts w:ascii="標楷體" w:eastAsia="標楷體" w:hAnsi="標楷體" w:hint="eastAsia"/>
              </w:rPr>
              <w:t>，</w:t>
            </w:r>
            <w:r w:rsidR="00E70025">
              <w:rPr>
                <w:rFonts w:ascii="Times New Roman" w:eastAsia="標楷體" w:hAnsi="Times New Roman" w:hint="eastAsia"/>
              </w:rPr>
              <w:t>每</w:t>
            </w:r>
            <w:proofErr w:type="gramStart"/>
            <w:r w:rsidR="00E70025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332A19">
              <w:rPr>
                <w:rFonts w:ascii="Times New Roman" w:eastAsia="標楷體" w:hAnsi="Times New Roman" w:hint="eastAsia"/>
              </w:rPr>
              <w:t>國家的烘焙工藝</w:t>
            </w:r>
            <w:r w:rsidR="00E70025">
              <w:rPr>
                <w:rFonts w:ascii="Times New Roman" w:eastAsia="標楷體" w:hAnsi="Times New Roman" w:hint="eastAsia"/>
              </w:rPr>
              <w:t>都有其自然</w:t>
            </w:r>
            <w:r w:rsidR="00E70025">
              <w:rPr>
                <w:rFonts w:ascii="標楷體" w:eastAsia="標楷體" w:hAnsi="標楷體" w:hint="eastAsia"/>
              </w:rPr>
              <w:t>、</w:t>
            </w:r>
            <w:r w:rsidR="00E70025">
              <w:rPr>
                <w:rFonts w:ascii="Times New Roman" w:eastAsia="標楷體" w:hAnsi="Times New Roman" w:hint="eastAsia"/>
              </w:rPr>
              <w:t>歷史及人文背景</w:t>
            </w:r>
            <w:r w:rsidR="00E70025">
              <w:rPr>
                <w:rFonts w:ascii="標楷體" w:eastAsia="標楷體" w:hAnsi="標楷體" w:hint="eastAsia"/>
              </w:rPr>
              <w:t>，</w:t>
            </w:r>
            <w:r w:rsidR="00332A19">
              <w:rPr>
                <w:rFonts w:ascii="標楷體" w:eastAsia="標楷體" w:hAnsi="標楷體" w:hint="eastAsia"/>
              </w:rPr>
              <w:t>所呈現的工藝特性亦為不同</w:t>
            </w:r>
            <w:r w:rsidR="00332A19">
              <w:rPr>
                <w:rFonts w:ascii="Times New Roman" w:eastAsia="標楷體" w:hAnsi="Times New Roman"/>
              </w:rPr>
              <w:t xml:space="preserve"> </w:t>
            </w:r>
            <w:r w:rsidR="00332A19">
              <w:rPr>
                <w:rFonts w:ascii="標楷體" w:eastAsia="標楷體" w:hAnsi="標楷體" w:hint="eastAsia"/>
              </w:rPr>
              <w:t>，期盼學生能</w:t>
            </w:r>
            <w:r w:rsidR="00332A19" w:rsidRPr="00332A19">
              <w:rPr>
                <w:rFonts w:ascii="標楷體" w:eastAsia="標楷體" w:hAnsi="標楷體" w:hint="eastAsia"/>
              </w:rPr>
              <w:t>尊重多元文化</w:t>
            </w:r>
            <w:r w:rsidR="00332A19">
              <w:rPr>
                <w:rFonts w:ascii="標楷體" w:eastAsia="標楷體" w:hAnsi="標楷體" w:hint="eastAsia"/>
              </w:rPr>
              <w:t>並且能</w:t>
            </w:r>
            <w:r w:rsidR="00332A19" w:rsidRPr="00332A19">
              <w:rPr>
                <w:rFonts w:ascii="標楷體" w:eastAsia="標楷體" w:hAnsi="標楷體" w:hint="eastAsia"/>
              </w:rPr>
              <w:t>國際理解</w:t>
            </w:r>
            <w:r w:rsidR="00332A19">
              <w:rPr>
                <w:rFonts w:ascii="標楷體" w:eastAsia="標楷體" w:hAnsi="標楷體" w:hint="eastAsia"/>
              </w:rPr>
              <w:t>。</w:t>
            </w:r>
          </w:p>
          <w:p w14:paraId="514EC9EE" w14:textId="77777777" w:rsid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二、活動內容</w:t>
            </w:r>
          </w:p>
          <w:p w14:paraId="5DBE3876" w14:textId="64DFA612" w:rsid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D62DC3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E70025">
              <w:rPr>
                <w:rFonts w:ascii="Times New Roman" w:eastAsia="標楷體" w:hAnsi="Times New Roman" w:hint="eastAsia"/>
              </w:rPr>
              <w:t>)</w:t>
            </w:r>
            <w:r w:rsidR="00E70025">
              <w:rPr>
                <w:rFonts w:hint="eastAsia"/>
              </w:rPr>
              <w:t xml:space="preserve"> </w:t>
            </w:r>
            <w:r w:rsidRPr="00D62DC3">
              <w:rPr>
                <w:rFonts w:ascii="Times New Roman" w:eastAsia="標楷體" w:hAnsi="Times New Roman" w:hint="eastAsia"/>
              </w:rPr>
              <w:t>介紹</w:t>
            </w:r>
            <w:r w:rsidRPr="00D62DC3">
              <w:rPr>
                <w:rFonts w:ascii="Times New Roman" w:eastAsia="標楷體" w:hAnsi="Times New Roman" w:hint="eastAsia"/>
              </w:rPr>
              <w:t>:</w:t>
            </w:r>
          </w:p>
          <w:p w14:paraId="70E0599E" w14:textId="2859D93E" w:rsidR="00D62DC3" w:rsidRDefault="001E076A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>利用投影片介紹</w:t>
            </w:r>
            <w:r w:rsidR="00332A19">
              <w:rPr>
                <w:rFonts w:ascii="Times New Roman" w:eastAsia="標楷體" w:hAnsi="Times New Roman" w:hint="eastAsia"/>
              </w:rPr>
              <w:t>歐式砂糖工藝與</w:t>
            </w:r>
            <w:proofErr w:type="gramStart"/>
            <w:r w:rsidR="00332A19">
              <w:rPr>
                <w:rFonts w:ascii="Times New Roman" w:eastAsia="標楷體" w:hAnsi="Times New Roman" w:hint="eastAsia"/>
              </w:rPr>
              <w:t>中國吹糖工藝</w:t>
            </w:r>
            <w:proofErr w:type="gramEnd"/>
          </w:p>
          <w:p w14:paraId="13BF9F7E" w14:textId="2FAA0EA0" w:rsidR="00366995" w:rsidRDefault="00366995" w:rsidP="001E076A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2.</w:t>
            </w:r>
            <w:r w:rsidR="001E076A">
              <w:rPr>
                <w:rFonts w:ascii="Times New Roman" w:eastAsia="標楷體" w:hAnsi="Times New Roman"/>
              </w:rPr>
              <w:t xml:space="preserve"> </w:t>
            </w:r>
            <w:r w:rsidR="00646FDF">
              <w:rPr>
                <w:rFonts w:ascii="Times New Roman" w:eastAsia="標楷體" w:hAnsi="Times New Roman" w:hint="eastAsia"/>
              </w:rPr>
              <w:t>介紹</w:t>
            </w:r>
            <w:r w:rsidR="00332A19" w:rsidRPr="00332A19">
              <w:rPr>
                <w:rFonts w:ascii="Times New Roman" w:eastAsia="標楷體" w:hAnsi="Times New Roman" w:hint="eastAsia"/>
              </w:rPr>
              <w:t>拉糖技法</w:t>
            </w:r>
          </w:p>
          <w:p w14:paraId="3BFCDC2A" w14:textId="70AA0C6D" w:rsidR="00646FDF" w:rsidRDefault="00646FDF" w:rsidP="001E076A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332A19">
              <w:rPr>
                <w:rFonts w:ascii="Times New Roman" w:eastAsia="標楷體" w:hAnsi="Times New Roman" w:hint="eastAsia"/>
              </w:rPr>
              <w:t>中國吹糖</w:t>
            </w:r>
          </w:p>
          <w:p w14:paraId="46ABAA3B" w14:textId="7050D003" w:rsidR="00EB2923" w:rsidRDefault="00EB2923" w:rsidP="001E076A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EB2923">
              <w:rPr>
                <w:rFonts w:ascii="Times New Roman" w:eastAsia="標楷體" w:hAnsi="Times New Roman" w:hint="eastAsia"/>
              </w:rPr>
              <w:t>文化資產保存法中所謂的民俗及其有關文物，與國民生活有關之食、衣、住、行、信仰、年節及其他風俗習慣之文物。</w:t>
            </w:r>
            <w:r>
              <w:rPr>
                <w:rFonts w:ascii="Times New Roman" w:eastAsia="標楷體" w:hAnsi="Times New Roman" w:hint="eastAsia"/>
              </w:rPr>
              <w:t>以白糖與麥芽糖</w:t>
            </w:r>
            <w:proofErr w:type="gramStart"/>
            <w:r>
              <w:rPr>
                <w:rFonts w:ascii="Times New Roman" w:eastAsia="標楷體" w:hAnsi="Times New Roman" w:hint="eastAsia"/>
              </w:rPr>
              <w:t>調製成吹糖原</w:t>
            </w:r>
            <w:proofErr w:type="gramEnd"/>
            <w:r>
              <w:rPr>
                <w:rFonts w:ascii="Times New Roman" w:eastAsia="標楷體" w:hAnsi="Times New Roman" w:hint="eastAsia"/>
              </w:rPr>
              <w:t>料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在</w:t>
            </w:r>
            <w:proofErr w:type="gramStart"/>
            <w:r>
              <w:rPr>
                <w:rFonts w:ascii="Times New Roman" w:eastAsia="標楷體" w:hAnsi="Times New Roman" w:hint="eastAsia"/>
              </w:rPr>
              <w:t>將糖吹膨脹</w:t>
            </w:r>
            <w:proofErr w:type="gramEnd"/>
            <w:r>
              <w:rPr>
                <w:rFonts w:ascii="Times New Roman" w:eastAsia="標楷體" w:hAnsi="Times New Roman" w:hint="eastAsia"/>
              </w:rPr>
              <w:t>成各式民俗文物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748FB1F" w14:textId="77777777" w:rsidR="00EB2923" w:rsidRDefault="00EB2923" w:rsidP="001E076A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</w:p>
          <w:p w14:paraId="3C18789E" w14:textId="589F7B97" w:rsidR="00EB2923" w:rsidRDefault="00EB2923" w:rsidP="001E076A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9553F1F" wp14:editId="3A1C7211">
                  <wp:extent cx="2752725" cy="164776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316" cy="16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D9A33" w14:textId="442164FA" w:rsidR="00EB2923" w:rsidRDefault="00EB2923" w:rsidP="001E076A">
            <w:pPr>
              <w:ind w:left="480"/>
              <w:jc w:val="both"/>
              <w:rPr>
                <w:rFonts w:ascii="Times New Roman" w:eastAsia="標楷體" w:hAnsi="Times New Roman"/>
              </w:rPr>
            </w:pPr>
          </w:p>
          <w:p w14:paraId="502BAB7A" w14:textId="77777777" w:rsidR="00EB2923" w:rsidRDefault="00EB2923" w:rsidP="001E076A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</w:p>
          <w:p w14:paraId="3ADE5BC5" w14:textId="304DB281" w:rsidR="00366995" w:rsidRDefault="00366995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366995">
              <w:rPr>
                <w:rFonts w:ascii="Times New Roman" w:eastAsia="標楷體" w:hAnsi="Times New Roman" w:hint="eastAsia"/>
              </w:rPr>
              <w:t>(</w:t>
            </w:r>
            <w:r w:rsidRPr="00366995">
              <w:rPr>
                <w:rFonts w:ascii="Times New Roman" w:eastAsia="標楷體" w:hAnsi="Times New Roman" w:hint="eastAsia"/>
              </w:rPr>
              <w:t>三</w:t>
            </w:r>
            <w:r w:rsidRPr="00366995">
              <w:rPr>
                <w:rFonts w:ascii="Times New Roman" w:eastAsia="標楷體" w:hAnsi="Times New Roman" w:hint="eastAsia"/>
              </w:rPr>
              <w:t>)</w:t>
            </w:r>
            <w:r w:rsidR="00EB2923">
              <w:rPr>
                <w:rFonts w:ascii="Times New Roman" w:eastAsia="標楷體" w:hAnsi="Times New Roman"/>
              </w:rPr>
              <w:t xml:space="preserve"> </w:t>
            </w:r>
            <w:r w:rsidR="00EB2923" w:rsidRPr="00EB2923">
              <w:rPr>
                <w:rFonts w:ascii="Times New Roman" w:eastAsia="標楷體" w:hAnsi="Times New Roman" w:hint="eastAsia"/>
              </w:rPr>
              <w:t>歐式砂糖工藝</w:t>
            </w:r>
          </w:p>
          <w:p w14:paraId="41515BDC" w14:textId="3EA5BD64" w:rsidR="00646FDF" w:rsidRDefault="00EB292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B2923">
              <w:rPr>
                <w:rFonts w:ascii="Times New Roman" w:eastAsia="標楷體" w:hAnsi="Times New Roman" w:hint="eastAsia"/>
              </w:rPr>
              <w:t>讓糖達到</w:t>
            </w:r>
            <w:proofErr w:type="gramEnd"/>
            <w:r w:rsidRPr="00EB2923">
              <w:rPr>
                <w:rFonts w:ascii="Times New Roman" w:eastAsia="標楷體" w:hAnsi="Times New Roman" w:hint="eastAsia"/>
              </w:rPr>
              <w:t>一定的溫度，將煮沸的糖漿</w:t>
            </w:r>
            <w:proofErr w:type="gramStart"/>
            <w:r w:rsidRPr="00EB2923">
              <w:rPr>
                <w:rFonts w:ascii="Times New Roman" w:eastAsia="標楷體" w:hAnsi="Times New Roman" w:hint="eastAsia"/>
              </w:rPr>
              <w:t>倒於鋪有</w:t>
            </w:r>
            <w:proofErr w:type="gramEnd"/>
            <w:r w:rsidRPr="00EB2923">
              <w:rPr>
                <w:rFonts w:ascii="Times New Roman" w:eastAsia="標楷體" w:hAnsi="Times New Roman" w:hint="eastAsia"/>
              </w:rPr>
              <w:t>烘焙紙或矽膠墊上。</w:t>
            </w:r>
            <w:r>
              <w:rPr>
                <w:rFonts w:ascii="Times New Roman" w:eastAsia="標楷體" w:hAnsi="Times New Roman" w:hint="eastAsia"/>
              </w:rPr>
              <w:t>再以</w:t>
            </w:r>
            <w:r w:rsidRPr="00EB2923">
              <w:rPr>
                <w:rFonts w:ascii="Times New Roman" w:eastAsia="標楷體" w:hAnsi="Times New Roman" w:hint="eastAsia"/>
              </w:rPr>
              <w:t>拉糖</w:t>
            </w:r>
            <w:r>
              <w:rPr>
                <w:rFonts w:ascii="Times New Roman" w:eastAsia="標楷體" w:hAnsi="Times New Roman" w:hint="eastAsia"/>
              </w:rPr>
              <w:t>的方式</w:t>
            </w:r>
            <w:proofErr w:type="gramStart"/>
            <w:r w:rsidRPr="00EB2923">
              <w:rPr>
                <w:rFonts w:ascii="Times New Roman" w:eastAsia="標楷體" w:hAnsi="Times New Roman" w:hint="eastAsia"/>
              </w:rPr>
              <w:t>增加糖體的</w:t>
            </w:r>
            <w:proofErr w:type="gramEnd"/>
            <w:r w:rsidRPr="00EB2923">
              <w:rPr>
                <w:rFonts w:ascii="Times New Roman" w:eastAsia="標楷體" w:hAnsi="Times New Roman" w:hint="eastAsia"/>
              </w:rPr>
              <w:t>光澤度，</w:t>
            </w:r>
            <w:proofErr w:type="gramStart"/>
            <w:r w:rsidRPr="00EB2923">
              <w:rPr>
                <w:rFonts w:ascii="Times New Roman" w:eastAsia="標楷體" w:hAnsi="Times New Roman" w:hint="eastAsia"/>
              </w:rPr>
              <w:t>糖體在</w:t>
            </w:r>
            <w:proofErr w:type="gramEnd"/>
            <w:r w:rsidRPr="00EB2923">
              <w:rPr>
                <w:rFonts w:ascii="Times New Roman" w:eastAsia="標楷體" w:hAnsi="Times New Roman" w:hint="eastAsia"/>
              </w:rPr>
              <w:t>拉伸過程中會逐漸充入少量氣體，隨後開始發出銀白色的金屬光澤，拉好的糖體會色澤鮮亮如綢緞</w:t>
            </w:r>
            <w:r>
              <w:rPr>
                <w:rFonts w:ascii="標楷體" w:eastAsia="標楷體" w:hAnsi="標楷體" w:hint="eastAsia"/>
              </w:rPr>
              <w:t>。利用糖的塑性作出各種不同形體之糖工藝。</w:t>
            </w:r>
          </w:p>
          <w:p w14:paraId="6A8123AB" w14:textId="23B89C27" w:rsidR="00366995" w:rsidRDefault="00646FDF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EB2923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C4B3D2F" wp14:editId="2224207E">
                  <wp:extent cx="2609850" cy="25146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9051612462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45" cy="252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9A4604" w14:textId="5EFF4C67" w:rsidR="00646FDF" w:rsidRDefault="00646FDF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</w:p>
          <w:p w14:paraId="19EAE760" w14:textId="77777777" w:rsidR="00646FDF" w:rsidRDefault="00646FDF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</w:p>
          <w:p w14:paraId="67DD2E4C" w14:textId="0C2C83F6" w:rsidR="00366995" w:rsidRDefault="00646FDF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四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5350A1">
              <w:rPr>
                <w:rFonts w:ascii="Times New Roman" w:eastAsia="標楷體" w:hAnsi="Times New Roman" w:hint="eastAsia"/>
              </w:rPr>
              <w:t>分組以網路搜尋方式進行</w:t>
            </w:r>
            <w:proofErr w:type="gramStart"/>
            <w:r w:rsidR="005350A1">
              <w:rPr>
                <w:rFonts w:ascii="Times New Roman" w:eastAsia="標楷體" w:hAnsi="Times New Roman" w:hint="eastAsia"/>
              </w:rPr>
              <w:t>各國糖</w:t>
            </w:r>
            <w:proofErr w:type="gramEnd"/>
            <w:r w:rsidR="005350A1">
              <w:rPr>
                <w:rFonts w:ascii="Times New Roman" w:eastAsia="標楷體" w:hAnsi="Times New Roman" w:hint="eastAsia"/>
              </w:rPr>
              <w:t>工藝圖片之元素探討</w:t>
            </w:r>
          </w:p>
          <w:p w14:paraId="22CF2778" w14:textId="09664EF6" w:rsidR="005350A1" w:rsidRDefault="005350A1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>至電腦教室進行網路搜尋</w:t>
            </w:r>
            <w:proofErr w:type="gramStart"/>
            <w:r>
              <w:rPr>
                <w:rFonts w:ascii="Times New Roman" w:eastAsia="標楷體" w:hAnsi="Times New Roman" w:hint="eastAsia"/>
              </w:rPr>
              <w:t>各國糖</w:t>
            </w:r>
            <w:proofErr w:type="gramEnd"/>
            <w:r>
              <w:rPr>
                <w:rFonts w:ascii="Times New Roman" w:eastAsia="標楷體" w:hAnsi="Times New Roman" w:hint="eastAsia"/>
              </w:rPr>
              <w:t>工藝圖片</w:t>
            </w:r>
          </w:p>
          <w:p w14:paraId="34EFFA40" w14:textId="028C76DC" w:rsidR="005350A1" w:rsidRDefault="005350A1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 w:hint="eastAsia"/>
              </w:rPr>
              <w:t>探討各國風情文化影響</w:t>
            </w:r>
            <w:proofErr w:type="gramStart"/>
            <w:r>
              <w:rPr>
                <w:rFonts w:ascii="Times New Roman" w:eastAsia="標楷體" w:hAnsi="Times New Roman" w:hint="eastAsia"/>
              </w:rPr>
              <w:t>該國糖工藝</w:t>
            </w:r>
            <w:proofErr w:type="gramEnd"/>
            <w:r>
              <w:rPr>
                <w:rFonts w:ascii="Times New Roman" w:eastAsia="標楷體" w:hAnsi="Times New Roman" w:hint="eastAsia"/>
              </w:rPr>
              <w:t>之作品呈現</w:t>
            </w:r>
          </w:p>
          <w:p w14:paraId="61B877B6" w14:textId="77777777" w:rsidR="005350A1" w:rsidRPr="005350A1" w:rsidRDefault="005350A1" w:rsidP="00646FDF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</w:p>
          <w:p w14:paraId="6B29EC51" w14:textId="7CD20833" w:rsidR="005350A1" w:rsidRDefault="005350A1" w:rsidP="00646FDF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五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分組報告及展示</w:t>
            </w:r>
          </w:p>
          <w:p w14:paraId="0C9A8347" w14:textId="6DE43BF6" w:rsidR="005350A1" w:rsidRPr="00D62DC3" w:rsidRDefault="005350A1" w:rsidP="00646FDF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6C3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61A70FC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8DABD1B" w14:textId="75EAA720" w:rsidR="00D62DC3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783B41">
              <w:rPr>
                <w:rFonts w:ascii="Times New Roman" w:eastAsia="標楷體" w:hAnsi="Times New Roman" w:hint="eastAsia"/>
                <w:b/>
              </w:rPr>
              <w:t>5</w:t>
            </w:r>
            <w:r w:rsidRPr="00783B41"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35D09083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E29265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5BBFF99" w14:textId="3A2BE53A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578AC68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A332FF" w14:textId="04BA5825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1A6A0474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D0D7C4B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70C853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E9B9862" w14:textId="77FE78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86070F4" w14:textId="26DA2712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A199CB5" w14:textId="5890C05A" w:rsidR="00783B41" w:rsidRDefault="00646F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50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2CDBE3F6" w14:textId="0AC51050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50F8C87" w14:textId="008EEB1E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5DE89BC" w14:textId="4556AEBD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97A6BE6" w14:textId="588A2BF9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7C5CBFE" w14:textId="0A2FB5A1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357999C" w14:textId="32ACD163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AE98308" w14:textId="5B5488FF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518763A" w14:textId="267C75E0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C2CDF2" w14:textId="3F637FE6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72E833A" w14:textId="7E6D3EC1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00D6787" w14:textId="5D4971CB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59F6B16" w14:textId="2FDC0BE0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FBFEC4" w14:textId="4B699406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C607675" w14:textId="0BAD3CE6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0060798" w14:textId="525E02FF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BA5D3FD" w14:textId="23C28B92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97120D9" w14:textId="0406299C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B76F40D" w14:textId="1D7D8146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D5194B" w14:textId="74383B4B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E08543A" w14:textId="1093EE65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62D4A72" w14:textId="628DC244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3629626" w14:textId="28271BC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ABE2B7F" w14:textId="77777777" w:rsidR="00783B41" w:rsidRDefault="00783B41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FE792B0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3F664E9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0B7F74A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D910F7E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19207A8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B768614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5E8FE6A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1218AEE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EAAEA4D" w14:textId="209195CC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14:paraId="1DEB4598" w14:textId="77777777" w:rsidR="00D62DC3" w:rsidRPr="00A05109" w:rsidRDefault="00D62DC3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783B41" w:rsidRPr="00A05109" w14:paraId="2F80FE64" w14:textId="77777777" w:rsidTr="00783B41">
        <w:trPr>
          <w:trHeight w:val="56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</w:tcPr>
          <w:p w14:paraId="7D60C06A" w14:textId="77777777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783B41">
              <w:rPr>
                <w:rFonts w:ascii="Times New Roman" w:eastAsia="標楷體" w:hAnsi="Times New Roman" w:hint="eastAsia"/>
              </w:rPr>
              <w:t>參、</w:t>
            </w:r>
            <w:r w:rsidRPr="00783B41">
              <w:rPr>
                <w:rFonts w:ascii="Times New Roman" w:eastAsia="標楷體" w:hAnsi="Times New Roman" w:hint="eastAsia"/>
              </w:rPr>
              <w:t xml:space="preserve"> </w:t>
            </w:r>
            <w:r w:rsidRPr="00783B41">
              <w:rPr>
                <w:rFonts w:ascii="Times New Roman" w:eastAsia="標楷體" w:hAnsi="Times New Roman" w:hint="eastAsia"/>
              </w:rPr>
              <w:t>綜合活動</w:t>
            </w:r>
          </w:p>
          <w:p w14:paraId="33A83C45" w14:textId="21DDD45E" w:rsid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783B41">
              <w:rPr>
                <w:rFonts w:ascii="Times New Roman" w:eastAsia="標楷體" w:hAnsi="Times New Roman" w:hint="eastAsia"/>
              </w:rPr>
              <w:t>一、由各組學生將</w:t>
            </w:r>
            <w:r w:rsidR="005350A1">
              <w:rPr>
                <w:rFonts w:ascii="Times New Roman" w:eastAsia="標楷體" w:hAnsi="Times New Roman" w:hint="eastAsia"/>
              </w:rPr>
              <w:t>網際網路</w:t>
            </w:r>
            <w:r w:rsidR="00514EA7">
              <w:rPr>
                <w:rFonts w:ascii="Times New Roman" w:eastAsia="標楷體" w:hAnsi="Times New Roman" w:hint="eastAsia"/>
              </w:rPr>
              <w:t>撰寫</w:t>
            </w:r>
            <w:r w:rsidRPr="00783B41">
              <w:rPr>
                <w:rFonts w:ascii="Times New Roman" w:eastAsia="標楷體" w:hAnsi="Times New Roman" w:hint="eastAsia"/>
              </w:rPr>
              <w:t>完成的</w:t>
            </w:r>
            <w:r w:rsidR="005350A1">
              <w:rPr>
                <w:rFonts w:ascii="Times New Roman" w:eastAsia="標楷體" w:hAnsi="Times New Roman" w:hint="eastAsia"/>
              </w:rPr>
              <w:t>糖工藝</w:t>
            </w:r>
            <w:r w:rsidR="00514EA7">
              <w:rPr>
                <w:rFonts w:ascii="Times New Roman" w:eastAsia="標楷體" w:hAnsi="Times New Roman" w:hint="eastAsia"/>
              </w:rPr>
              <w:t>報告</w:t>
            </w:r>
            <w:r w:rsidRPr="00783B41">
              <w:rPr>
                <w:rFonts w:ascii="Times New Roman" w:eastAsia="標楷體" w:hAnsi="Times New Roman" w:hint="eastAsia"/>
              </w:rPr>
              <w:t>展示</w:t>
            </w:r>
            <w:r w:rsidRPr="00783B41">
              <w:rPr>
                <w:rFonts w:ascii="Times New Roman" w:eastAsia="標楷體" w:hAnsi="Times New Roman" w:hint="eastAsia"/>
              </w:rPr>
              <w:t>,</w:t>
            </w:r>
            <w:r w:rsidRPr="00783B41">
              <w:rPr>
                <w:rFonts w:ascii="Times New Roman" w:eastAsia="標楷體" w:hAnsi="Times New Roman" w:hint="eastAsia"/>
              </w:rPr>
              <w:t>並提供各組觀摩</w:t>
            </w:r>
            <w:r w:rsidR="00514EA7">
              <w:rPr>
                <w:rFonts w:ascii="Times New Roman" w:eastAsia="標楷體" w:hAnsi="Times New Roman" w:hint="eastAsia"/>
              </w:rPr>
              <w:t>報告</w:t>
            </w:r>
            <w:r w:rsidRPr="00783B41">
              <w:rPr>
                <w:rFonts w:ascii="Times New Roman" w:eastAsia="標楷體" w:hAnsi="Times New Roman" w:hint="eastAsia"/>
              </w:rPr>
              <w:t>結果。</w:t>
            </w:r>
          </w:p>
          <w:p w14:paraId="08671693" w14:textId="3949E656" w:rsid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 w:rsidRPr="00783B41">
              <w:rPr>
                <w:rFonts w:ascii="Times New Roman" w:eastAsia="標楷體" w:hAnsi="Times New Roman" w:hint="eastAsia"/>
              </w:rPr>
              <w:t>、各組學生分別進行發表與反思</w:t>
            </w:r>
            <w:r w:rsidRPr="00783B41">
              <w:rPr>
                <w:rFonts w:ascii="Times New Roman" w:eastAsia="標楷體" w:hAnsi="Times New Roman" w:hint="eastAsia"/>
              </w:rPr>
              <w:t>,</w:t>
            </w:r>
            <w:r w:rsidRPr="00783B41">
              <w:rPr>
                <w:rFonts w:ascii="Times New Roman" w:eastAsia="標楷體" w:hAnsi="Times New Roman" w:hint="eastAsia"/>
              </w:rPr>
              <w:t>歸納出</w:t>
            </w:r>
            <w:r w:rsidR="00514EA7">
              <w:rPr>
                <w:rFonts w:ascii="Times New Roman" w:eastAsia="標楷體" w:hAnsi="Times New Roman" w:hint="eastAsia"/>
              </w:rPr>
              <w:t>各種景象造成原因及解決方法</w:t>
            </w:r>
            <w:r w:rsidRPr="00783B41">
              <w:rPr>
                <w:rFonts w:ascii="Times New Roman" w:eastAsia="標楷體" w:hAnsi="Times New Roman" w:hint="eastAsia"/>
              </w:rPr>
              <w:t>。</w:t>
            </w:r>
          </w:p>
          <w:p w14:paraId="0293FB5D" w14:textId="385ABB8D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三</w:t>
            </w:r>
            <w:r w:rsidRPr="00783B41">
              <w:rPr>
                <w:rFonts w:ascii="Times New Roman" w:eastAsia="標楷體" w:hAnsi="Times New Roman" w:hint="eastAsia"/>
              </w:rPr>
              <w:t>、講授者與學生互動</w:t>
            </w:r>
            <w:r w:rsidR="005350A1">
              <w:rPr>
                <w:rFonts w:ascii="Times New Roman" w:eastAsia="標楷體" w:hAnsi="Times New Roman" w:hint="eastAsia"/>
              </w:rPr>
              <w:t>報告</w:t>
            </w:r>
            <w:r w:rsidRPr="00783B41">
              <w:rPr>
                <w:rFonts w:ascii="Times New Roman" w:eastAsia="標楷體" w:hAnsi="Times New Roman" w:hint="eastAsia"/>
              </w:rPr>
              <w:t>心得及經驗交流</w:t>
            </w:r>
            <w:r w:rsidR="005350A1">
              <w:rPr>
                <w:rFonts w:ascii="標楷體" w:eastAsia="標楷體" w:hAnsi="標楷體" w:hint="eastAsia"/>
              </w:rPr>
              <w:t>，使學生</w:t>
            </w:r>
            <w:r w:rsidR="005350A1" w:rsidRPr="005350A1">
              <w:rPr>
                <w:rFonts w:ascii="標楷體" w:eastAsia="標楷體" w:hAnsi="標楷體" w:hint="eastAsia"/>
              </w:rPr>
              <w:t>運用資訊科技能力及跨文化溝通能力達成國際教育之議題探討。</w:t>
            </w:r>
            <w:r w:rsidRPr="00783B41">
              <w:rPr>
                <w:rFonts w:ascii="Times New Roman" w:eastAsia="標楷體" w:hAnsi="Times New Roman" w:hint="eastAsia"/>
              </w:rPr>
              <w:t>。</w:t>
            </w:r>
          </w:p>
          <w:p w14:paraId="021ECD2B" w14:textId="5868C8D1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  <w:r w:rsidRPr="00783B41">
              <w:rPr>
                <w:rFonts w:ascii="Times New Roman" w:eastAsia="標楷體" w:hAnsi="Times New Roman" w:hint="eastAsia"/>
              </w:rPr>
              <w:t>、檢討</w:t>
            </w:r>
            <w:proofErr w:type="gramStart"/>
            <w:r w:rsidRPr="00783B41">
              <w:rPr>
                <w:rFonts w:ascii="Times New Roman" w:eastAsia="標楷體" w:hAnsi="Times New Roman" w:hint="eastAsia"/>
              </w:rPr>
              <w:t>各組</w:t>
            </w:r>
            <w:r w:rsidR="00514EA7">
              <w:rPr>
                <w:rFonts w:ascii="Times New Roman" w:eastAsia="標楷體" w:hAnsi="Times New Roman" w:hint="eastAsia"/>
              </w:rPr>
              <w:t>參訪</w:t>
            </w:r>
            <w:proofErr w:type="gramEnd"/>
            <w:r w:rsidR="00514EA7">
              <w:rPr>
                <w:rFonts w:ascii="Times New Roman" w:eastAsia="標楷體" w:hAnsi="Times New Roman" w:hint="eastAsia"/>
              </w:rPr>
              <w:t>報告</w:t>
            </w:r>
            <w:r w:rsidRPr="00783B41">
              <w:rPr>
                <w:rFonts w:ascii="Times New Roman" w:eastAsia="標楷體" w:hAnsi="Times New Roman" w:hint="eastAsia"/>
              </w:rPr>
              <w:t>的優點及改進的地方</w:t>
            </w:r>
            <w:r w:rsidRPr="00783B41">
              <w:rPr>
                <w:rFonts w:ascii="Times New Roman" w:eastAsia="標楷體" w:hAnsi="Times New Roman" w:hint="eastAsia"/>
              </w:rPr>
              <w:t>,</w:t>
            </w:r>
            <w:r w:rsidRPr="00783B41">
              <w:rPr>
                <w:rFonts w:ascii="Times New Roman" w:eastAsia="標楷體" w:hAnsi="Times New Roman" w:hint="eastAsia"/>
              </w:rPr>
              <w:t>以瞭解學生學習成效。</w:t>
            </w:r>
          </w:p>
          <w:p w14:paraId="1BEB586D" w14:textId="169116A8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  <w:r w:rsidRPr="00783B41">
              <w:rPr>
                <w:rFonts w:ascii="Times New Roman" w:eastAsia="標楷體" w:hAnsi="Times New Roman" w:hint="eastAsia"/>
              </w:rPr>
              <w:t>、老師總結、評分。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571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EAC0785" w14:textId="13F436F6" w:rsidR="00783B41" w:rsidRDefault="005350A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</w:t>
            </w:r>
            <w:bookmarkStart w:id="0" w:name="_GoBack"/>
            <w:bookmarkEnd w:id="0"/>
            <w:r w:rsidR="00783B41">
              <w:rPr>
                <w:rFonts w:ascii="Times New Roman" w:eastAsia="標楷體" w:hAnsi="Times New Roman" w:hint="eastAsia"/>
                <w:b/>
              </w:rPr>
              <w:t>0</w:t>
            </w:r>
            <w:r w:rsidR="00783B41"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14:paraId="18A93C74" w14:textId="77777777" w:rsidR="00783B41" w:rsidRPr="00A05109" w:rsidRDefault="00783B41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D90816" w:rsidRPr="00A05109" w14:paraId="0DD71E00" w14:textId="77777777" w:rsidTr="00BF6825">
        <w:trPr>
          <w:trHeight w:val="93"/>
        </w:trPr>
        <w:tc>
          <w:tcPr>
            <w:tcW w:w="9889" w:type="dxa"/>
            <w:gridSpan w:val="3"/>
          </w:tcPr>
          <w:p w14:paraId="0010569B" w14:textId="03AA3697" w:rsidR="00D90816" w:rsidRPr="00A05109" w:rsidRDefault="00D90816" w:rsidP="00514EA7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  <w:r w:rsidR="00783B41"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</w:tr>
    </w:tbl>
    <w:p w14:paraId="73430374" w14:textId="77777777" w:rsidR="00D90816" w:rsidRPr="000D2AF2" w:rsidRDefault="00D90816" w:rsidP="00D90816"/>
    <w:p w14:paraId="6CE86449" w14:textId="77777777" w:rsidR="00BE4ED1" w:rsidRPr="00D90816" w:rsidRDefault="00BE4ED1" w:rsidP="00BE4ED1"/>
    <w:p w14:paraId="2A5C3B22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12932" w14:textId="77777777" w:rsidR="00657D9C" w:rsidRDefault="00657D9C" w:rsidP="003B0BE7">
      <w:r>
        <w:separator/>
      </w:r>
    </w:p>
  </w:endnote>
  <w:endnote w:type="continuationSeparator" w:id="0">
    <w:p w14:paraId="3930C7D5" w14:textId="77777777" w:rsidR="00657D9C" w:rsidRDefault="00657D9C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C293" w14:textId="77777777" w:rsidR="00657D9C" w:rsidRDefault="00657D9C" w:rsidP="003B0BE7">
      <w:r>
        <w:separator/>
      </w:r>
    </w:p>
  </w:footnote>
  <w:footnote w:type="continuationSeparator" w:id="0">
    <w:p w14:paraId="1A025ACA" w14:textId="77777777" w:rsidR="00657D9C" w:rsidRDefault="00657D9C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8AF"/>
    <w:multiLevelType w:val="hybridMultilevel"/>
    <w:tmpl w:val="F5C4E9D0"/>
    <w:lvl w:ilvl="0" w:tplc="0390F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F07E0D"/>
    <w:multiLevelType w:val="hybridMultilevel"/>
    <w:tmpl w:val="1E5063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0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4FF70F7F"/>
    <w:multiLevelType w:val="hybridMultilevel"/>
    <w:tmpl w:val="5AE477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5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8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9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1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1"/>
  </w:num>
  <w:num w:numId="5">
    <w:abstractNumId w:val="20"/>
  </w:num>
  <w:num w:numId="6">
    <w:abstractNumId w:val="17"/>
  </w:num>
  <w:num w:numId="7">
    <w:abstractNumId w:val="1"/>
  </w:num>
  <w:num w:numId="8">
    <w:abstractNumId w:val="15"/>
  </w:num>
  <w:num w:numId="9">
    <w:abstractNumId w:val="23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19"/>
  </w:num>
  <w:num w:numId="15">
    <w:abstractNumId w:val="10"/>
  </w:num>
  <w:num w:numId="16">
    <w:abstractNumId w:val="14"/>
  </w:num>
  <w:num w:numId="17">
    <w:abstractNumId w:val="18"/>
  </w:num>
  <w:num w:numId="18">
    <w:abstractNumId w:val="6"/>
  </w:num>
  <w:num w:numId="19">
    <w:abstractNumId w:val="7"/>
  </w:num>
  <w:num w:numId="20">
    <w:abstractNumId w:val="8"/>
  </w:num>
  <w:num w:numId="21">
    <w:abstractNumId w:val="3"/>
  </w:num>
  <w:num w:numId="22">
    <w:abstractNumId w:val="16"/>
  </w:num>
  <w:num w:numId="23">
    <w:abstractNumId w:val="0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C4208"/>
    <w:rsid w:val="000D40FC"/>
    <w:rsid w:val="000F3B5E"/>
    <w:rsid w:val="000F44AD"/>
    <w:rsid w:val="00132C1B"/>
    <w:rsid w:val="00171FB8"/>
    <w:rsid w:val="001B0420"/>
    <w:rsid w:val="001C5196"/>
    <w:rsid w:val="001E076A"/>
    <w:rsid w:val="001E7DD1"/>
    <w:rsid w:val="001F0E59"/>
    <w:rsid w:val="001F2172"/>
    <w:rsid w:val="00253724"/>
    <w:rsid w:val="00253784"/>
    <w:rsid w:val="002E26EF"/>
    <w:rsid w:val="002E5EA8"/>
    <w:rsid w:val="002F4687"/>
    <w:rsid w:val="00316FC9"/>
    <w:rsid w:val="00324057"/>
    <w:rsid w:val="00332A19"/>
    <w:rsid w:val="00366995"/>
    <w:rsid w:val="003970DD"/>
    <w:rsid w:val="003B0BE7"/>
    <w:rsid w:val="003C041C"/>
    <w:rsid w:val="003E4F06"/>
    <w:rsid w:val="00420A58"/>
    <w:rsid w:val="004236D3"/>
    <w:rsid w:val="00442443"/>
    <w:rsid w:val="0045433B"/>
    <w:rsid w:val="00464545"/>
    <w:rsid w:val="00480813"/>
    <w:rsid w:val="00494D53"/>
    <w:rsid w:val="004C330F"/>
    <w:rsid w:val="004D48C5"/>
    <w:rsid w:val="00514681"/>
    <w:rsid w:val="00514EA7"/>
    <w:rsid w:val="005337D5"/>
    <w:rsid w:val="005350A1"/>
    <w:rsid w:val="00536B40"/>
    <w:rsid w:val="00540C5A"/>
    <w:rsid w:val="00576ECD"/>
    <w:rsid w:val="005F7423"/>
    <w:rsid w:val="00642CE4"/>
    <w:rsid w:val="00646FDF"/>
    <w:rsid w:val="00657D9C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B41"/>
    <w:rsid w:val="00783DCB"/>
    <w:rsid w:val="007B2958"/>
    <w:rsid w:val="007C69D6"/>
    <w:rsid w:val="007D6516"/>
    <w:rsid w:val="007E59BE"/>
    <w:rsid w:val="007F3219"/>
    <w:rsid w:val="007F5885"/>
    <w:rsid w:val="00817A0F"/>
    <w:rsid w:val="00833FDA"/>
    <w:rsid w:val="00834984"/>
    <w:rsid w:val="008857FF"/>
    <w:rsid w:val="008917C5"/>
    <w:rsid w:val="00975741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A215E"/>
    <w:rsid w:val="00AC4454"/>
    <w:rsid w:val="00AE5563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03F"/>
    <w:rsid w:val="00C538D3"/>
    <w:rsid w:val="00C92212"/>
    <w:rsid w:val="00C93358"/>
    <w:rsid w:val="00C96B02"/>
    <w:rsid w:val="00C97066"/>
    <w:rsid w:val="00CE3864"/>
    <w:rsid w:val="00D344CB"/>
    <w:rsid w:val="00D419B0"/>
    <w:rsid w:val="00D5068F"/>
    <w:rsid w:val="00D55B3D"/>
    <w:rsid w:val="00D62DC3"/>
    <w:rsid w:val="00D644B4"/>
    <w:rsid w:val="00D77F4A"/>
    <w:rsid w:val="00D90816"/>
    <w:rsid w:val="00DC397C"/>
    <w:rsid w:val="00DE381B"/>
    <w:rsid w:val="00DE7A17"/>
    <w:rsid w:val="00E14CC2"/>
    <w:rsid w:val="00E36C30"/>
    <w:rsid w:val="00E70025"/>
    <w:rsid w:val="00E77163"/>
    <w:rsid w:val="00E97FCD"/>
    <w:rsid w:val="00EB2923"/>
    <w:rsid w:val="00EC1C41"/>
    <w:rsid w:val="00EF2D49"/>
    <w:rsid w:val="00EF6B69"/>
    <w:rsid w:val="00F1301A"/>
    <w:rsid w:val="00F451DE"/>
    <w:rsid w:val="00F648FC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B4A69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75741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C100BA-D997-484C-B186-0FA32E36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2022-05-09T04:46:00Z</dcterms:created>
  <dcterms:modified xsi:type="dcterms:W3CDTF">2022-05-09T05:15:00Z</dcterms:modified>
</cp:coreProperties>
</file>